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42" w:rsidRPr="006B176A" w:rsidRDefault="008A5D42" w:rsidP="008A5D42">
      <w:pPr>
        <w:rPr>
          <w:rFonts w:ascii="Times New Roman" w:hAnsi="Times New Roman"/>
        </w:rPr>
      </w:pPr>
      <w:bookmarkStart w:id="0" w:name="_GoBack"/>
      <w:bookmarkEnd w:id="0"/>
    </w:p>
    <w:p w:rsidR="008A5D42" w:rsidRPr="006B176A" w:rsidRDefault="008A5D42" w:rsidP="008A5D42">
      <w:pPr>
        <w:rPr>
          <w:rFonts w:ascii="Times New Roman" w:hAnsi="Times New Roman"/>
        </w:rPr>
      </w:pPr>
    </w:p>
    <w:p w:rsidR="008A5D42" w:rsidRPr="006B176A" w:rsidRDefault="008A5D42" w:rsidP="008A5D42">
      <w:pPr>
        <w:rPr>
          <w:rFonts w:ascii="Times New Roman" w:hAnsi="Times New Roman"/>
        </w:rPr>
      </w:pPr>
    </w:p>
    <w:p w:rsidR="008A5D42" w:rsidRPr="006B176A" w:rsidRDefault="008A5D42" w:rsidP="008A5D42">
      <w:pPr>
        <w:rPr>
          <w:rFonts w:ascii="Times New Roman" w:hAnsi="Times New Roman"/>
        </w:rPr>
      </w:pPr>
    </w:p>
    <w:p w:rsidR="008A5D42" w:rsidRPr="006B176A" w:rsidRDefault="008A5D42" w:rsidP="008A5D42">
      <w:pPr>
        <w:rPr>
          <w:rFonts w:ascii="Times New Roman" w:hAnsi="Times New Roman"/>
        </w:rPr>
      </w:pPr>
    </w:p>
    <w:p w:rsidR="008A5D42" w:rsidRPr="006B176A" w:rsidRDefault="008A5D42" w:rsidP="008A5D42">
      <w:pPr>
        <w:rPr>
          <w:rFonts w:ascii="Times New Roman" w:hAnsi="Times New Roman"/>
        </w:rPr>
      </w:pPr>
    </w:p>
    <w:p w:rsidR="008A5D42" w:rsidRPr="006B176A" w:rsidRDefault="008A5D42" w:rsidP="008A5D42">
      <w:pPr>
        <w:rPr>
          <w:rFonts w:ascii="Times New Roman" w:hAnsi="Times New Roman"/>
        </w:rPr>
      </w:pPr>
    </w:p>
    <w:p w:rsidR="008A5D42" w:rsidRPr="006B176A" w:rsidRDefault="008A5D42" w:rsidP="008A5D42">
      <w:pPr>
        <w:rPr>
          <w:rFonts w:ascii="Times New Roman" w:hAnsi="Times New Roman"/>
        </w:rPr>
      </w:pPr>
    </w:p>
    <w:p w:rsidR="008A5D42" w:rsidRPr="006B176A" w:rsidRDefault="008A5D42" w:rsidP="008A5D42">
      <w:pPr>
        <w:rPr>
          <w:rFonts w:ascii="Times New Roman" w:hAnsi="Times New Roman"/>
        </w:rPr>
      </w:pPr>
    </w:p>
    <w:p w:rsidR="008A5D42" w:rsidRDefault="008A5D42" w:rsidP="008A5D42">
      <w:pPr>
        <w:jc w:val="center"/>
        <w:rPr>
          <w:rFonts w:ascii="Times New Roman" w:hAnsi="Times New Roman"/>
          <w:u w:val="single"/>
        </w:rPr>
      </w:pPr>
    </w:p>
    <w:p w:rsidR="00E45C39" w:rsidRDefault="00E45C39" w:rsidP="008A5D42">
      <w:pPr>
        <w:jc w:val="center"/>
        <w:rPr>
          <w:rFonts w:ascii="Times New Roman" w:hAnsi="Times New Roman"/>
          <w:u w:val="single"/>
        </w:rPr>
      </w:pPr>
    </w:p>
    <w:p w:rsidR="00E45C39" w:rsidRDefault="00E45C39" w:rsidP="008A5D42">
      <w:pPr>
        <w:jc w:val="center"/>
        <w:rPr>
          <w:rFonts w:ascii="Times New Roman" w:hAnsi="Times New Roman"/>
          <w:u w:val="single"/>
        </w:rPr>
      </w:pPr>
    </w:p>
    <w:p w:rsidR="00E45C39" w:rsidRDefault="00E45C39" w:rsidP="008A5D42">
      <w:pPr>
        <w:jc w:val="center"/>
        <w:rPr>
          <w:rFonts w:ascii="Times New Roman" w:hAnsi="Times New Roman"/>
          <w:u w:val="single"/>
        </w:rPr>
      </w:pPr>
    </w:p>
    <w:p w:rsidR="00E45C39" w:rsidRDefault="00E45C39" w:rsidP="008A5D42">
      <w:pPr>
        <w:jc w:val="center"/>
        <w:rPr>
          <w:rFonts w:ascii="Times New Roman" w:hAnsi="Times New Roman"/>
          <w:u w:val="single"/>
        </w:rPr>
      </w:pPr>
    </w:p>
    <w:p w:rsidR="00E45C39" w:rsidRDefault="00E45C39" w:rsidP="008A5D42">
      <w:pPr>
        <w:jc w:val="center"/>
        <w:rPr>
          <w:rFonts w:ascii="Times New Roman" w:hAnsi="Times New Roman"/>
          <w:u w:val="single"/>
        </w:rPr>
      </w:pPr>
    </w:p>
    <w:p w:rsidR="00E45C39" w:rsidRDefault="00E45C39" w:rsidP="00E45C39">
      <w:pPr>
        <w:rPr>
          <w:rFonts w:ascii="Times New Roman" w:hAnsi="Times New Roman"/>
        </w:rPr>
      </w:pPr>
    </w:p>
    <w:p w:rsidR="00B96F01" w:rsidRPr="00B96F01" w:rsidRDefault="00B96F01" w:rsidP="00E45C39">
      <w:pPr>
        <w:rPr>
          <w:rFonts w:ascii="Times New Roman" w:hAnsi="Times New Roman"/>
        </w:rPr>
      </w:pPr>
    </w:p>
    <w:p w:rsidR="00CB08F6" w:rsidRDefault="00B96F01" w:rsidP="008A5D42">
      <w:pPr>
        <w:jc w:val="center"/>
        <w:rPr>
          <w:rFonts w:ascii="Times New Roman" w:hAnsi="Times New Roman"/>
        </w:rPr>
      </w:pPr>
      <w:r>
        <w:rPr>
          <w:rFonts w:ascii="Times New Roman" w:hAnsi="Times New Roman"/>
          <w:i/>
        </w:rPr>
        <w:t>The Language of Terror and Reconciliation?</w:t>
      </w:r>
    </w:p>
    <w:p w:rsidR="00D86E34" w:rsidRDefault="00D86E34" w:rsidP="008A5D42">
      <w:pPr>
        <w:jc w:val="center"/>
        <w:rPr>
          <w:rFonts w:ascii="Times New Roman" w:hAnsi="Times New Roman"/>
        </w:rPr>
      </w:pPr>
    </w:p>
    <w:p w:rsidR="00CB08F6" w:rsidRDefault="00B96F01" w:rsidP="008A5D42">
      <w:pPr>
        <w:jc w:val="center"/>
        <w:rPr>
          <w:rFonts w:ascii="Times New Roman" w:hAnsi="Times New Roman"/>
        </w:rPr>
      </w:pPr>
      <w:r>
        <w:rPr>
          <w:rFonts w:ascii="Times New Roman" w:hAnsi="Times New Roman"/>
          <w:i/>
        </w:rPr>
        <w:t>An Exploration of Narrative and Identity in Post-Conflict Societies</w:t>
      </w:r>
    </w:p>
    <w:p w:rsidR="00D86E34" w:rsidRDefault="00D86E34" w:rsidP="008A5D42">
      <w:pPr>
        <w:jc w:val="center"/>
        <w:rPr>
          <w:rFonts w:ascii="Times New Roman" w:hAnsi="Times New Roman"/>
        </w:rPr>
      </w:pPr>
    </w:p>
    <w:p w:rsidR="00E45C39" w:rsidRPr="00B96F01" w:rsidRDefault="00B96F01" w:rsidP="00B96F01">
      <w:pPr>
        <w:jc w:val="center"/>
        <w:rPr>
          <w:rFonts w:ascii="Times New Roman" w:hAnsi="Times New Roman"/>
          <w:i/>
        </w:rPr>
      </w:pPr>
      <w:r>
        <w:rPr>
          <w:rFonts w:ascii="Times New Roman" w:hAnsi="Times New Roman"/>
          <w:i/>
        </w:rPr>
        <w:t>and the Disconnect between the Individual and National Representation</w:t>
      </w:r>
    </w:p>
    <w:p w:rsidR="008A5D42" w:rsidRPr="00E45C39" w:rsidRDefault="00E45C39" w:rsidP="00E45C39">
      <w:pPr>
        <w:rPr>
          <w:rFonts w:ascii="Times New Roman" w:hAnsi="Times New Roman"/>
        </w:rPr>
      </w:pPr>
      <w:r>
        <w:rPr>
          <w:rFonts w:ascii="Times New Roman" w:hAnsi="Times New Roman"/>
        </w:rPr>
        <w:t xml:space="preserve"> </w:t>
      </w:r>
    </w:p>
    <w:p w:rsidR="008E7E53" w:rsidRDefault="008E7E53" w:rsidP="008A5D42">
      <w:pPr>
        <w:jc w:val="center"/>
        <w:rPr>
          <w:rFonts w:ascii="Times New Roman" w:hAnsi="Times New Roman"/>
          <w:u w:val="single"/>
        </w:rPr>
      </w:pPr>
    </w:p>
    <w:p w:rsidR="008E7E53" w:rsidRDefault="008E7E53" w:rsidP="00E45C39">
      <w:pPr>
        <w:jc w:val="center"/>
        <w:rPr>
          <w:rFonts w:ascii="Times New Roman" w:hAnsi="Times New Roman"/>
        </w:rPr>
      </w:pPr>
      <w:r w:rsidRPr="006B176A">
        <w:rPr>
          <w:rFonts w:ascii="Times New Roman" w:hAnsi="Times New Roman"/>
        </w:rPr>
        <w:t>Allison Hudson</w:t>
      </w:r>
    </w:p>
    <w:p w:rsidR="00CB08F6" w:rsidRDefault="00CB08F6" w:rsidP="00E45C39">
      <w:pPr>
        <w:jc w:val="center"/>
        <w:rPr>
          <w:rFonts w:ascii="Times New Roman" w:hAnsi="Times New Roman"/>
        </w:rPr>
      </w:pPr>
      <w:r>
        <w:rPr>
          <w:rFonts w:ascii="Times New Roman" w:hAnsi="Times New Roman"/>
        </w:rPr>
        <w:t>Department of Anthropology</w:t>
      </w:r>
    </w:p>
    <w:p w:rsidR="00CB08F6" w:rsidRPr="006B176A" w:rsidRDefault="00CB08F6" w:rsidP="00E45C39">
      <w:pPr>
        <w:jc w:val="center"/>
        <w:rPr>
          <w:rFonts w:ascii="Times New Roman" w:hAnsi="Times New Roman"/>
        </w:rPr>
      </w:pPr>
      <w:r>
        <w:rPr>
          <w:rFonts w:ascii="Times New Roman" w:hAnsi="Times New Roman"/>
        </w:rPr>
        <w:t>Saint Mary’s University</w:t>
      </w:r>
    </w:p>
    <w:p w:rsidR="008E7E53" w:rsidRPr="006B176A" w:rsidRDefault="008E7E53" w:rsidP="008E7E53">
      <w:pPr>
        <w:jc w:val="center"/>
        <w:rPr>
          <w:rFonts w:ascii="Times New Roman" w:hAnsi="Times New Roman"/>
        </w:rPr>
      </w:pPr>
    </w:p>
    <w:p w:rsidR="008E7E53" w:rsidRDefault="008E7E53" w:rsidP="008A5D42">
      <w:pPr>
        <w:jc w:val="center"/>
        <w:rPr>
          <w:rFonts w:ascii="Times New Roman" w:hAnsi="Times New Roman"/>
          <w:u w:val="single"/>
        </w:rPr>
      </w:pPr>
    </w:p>
    <w:p w:rsidR="008E7E53" w:rsidRPr="008E7E53" w:rsidRDefault="008E7E53" w:rsidP="00E45C39">
      <w:pPr>
        <w:jc w:val="center"/>
        <w:rPr>
          <w:rFonts w:ascii="Times New Roman" w:hAnsi="Times New Roman"/>
        </w:rPr>
      </w:pPr>
      <w:r w:rsidRPr="008E7E53">
        <w:rPr>
          <w:rFonts w:ascii="Times New Roman" w:hAnsi="Times New Roman"/>
        </w:rPr>
        <w:t xml:space="preserve">Prince John Loewenstein Prize </w:t>
      </w:r>
      <w:r w:rsidR="00E45C39">
        <w:rPr>
          <w:rFonts w:ascii="Times New Roman" w:hAnsi="Times New Roman"/>
        </w:rPr>
        <w:t>Winner</w:t>
      </w:r>
    </w:p>
    <w:p w:rsidR="008A5D42" w:rsidRPr="008E7E53" w:rsidRDefault="00E45C39" w:rsidP="008A5D42">
      <w:pPr>
        <w:jc w:val="center"/>
        <w:rPr>
          <w:rFonts w:ascii="Times New Roman" w:hAnsi="Times New Roman"/>
        </w:rPr>
      </w:pPr>
      <w:r>
        <w:rPr>
          <w:rFonts w:ascii="Times New Roman" w:hAnsi="Times New Roman"/>
        </w:rPr>
        <w:t>2013</w:t>
      </w: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A5D42" w:rsidRPr="006B176A" w:rsidRDefault="008A5D42" w:rsidP="008A5D42">
      <w:pPr>
        <w:jc w:val="center"/>
        <w:rPr>
          <w:rFonts w:ascii="Times New Roman" w:hAnsi="Times New Roman"/>
          <w:u w:val="single"/>
        </w:rPr>
      </w:pPr>
    </w:p>
    <w:p w:rsidR="008E7E53" w:rsidRDefault="008E7E53" w:rsidP="00E45C39">
      <w:pPr>
        <w:rPr>
          <w:rFonts w:ascii="Times New Roman" w:hAnsi="Times New Roman"/>
          <w:u w:val="single"/>
        </w:rPr>
      </w:pPr>
    </w:p>
    <w:p w:rsidR="00E45C39" w:rsidRDefault="00E45C39" w:rsidP="00D86E34">
      <w:pPr>
        <w:rPr>
          <w:rFonts w:ascii="Times New Roman" w:hAnsi="Times New Roman"/>
        </w:rPr>
      </w:pPr>
    </w:p>
    <w:p w:rsidR="00B96F01" w:rsidRDefault="00B96F01" w:rsidP="008A5D42">
      <w:pPr>
        <w:jc w:val="center"/>
        <w:rPr>
          <w:rFonts w:ascii="Times New Roman" w:hAnsi="Times New Roman"/>
        </w:rPr>
      </w:pPr>
    </w:p>
    <w:p w:rsidR="008A5D42" w:rsidRPr="00E45C39" w:rsidRDefault="00E45C39" w:rsidP="00B96F01">
      <w:pPr>
        <w:jc w:val="center"/>
        <w:rPr>
          <w:rFonts w:ascii="Times New Roman" w:hAnsi="Times New Roman"/>
        </w:rPr>
      </w:pPr>
      <w:r>
        <w:rPr>
          <w:rFonts w:ascii="Times New Roman" w:hAnsi="Times New Roman"/>
        </w:rPr>
        <w:lastRenderedPageBreak/>
        <w:t>Introduction</w:t>
      </w:r>
    </w:p>
    <w:p w:rsidR="008A5D42" w:rsidRPr="006B176A" w:rsidRDefault="008A5D42" w:rsidP="008A5D42">
      <w:pPr>
        <w:jc w:val="center"/>
        <w:rPr>
          <w:rFonts w:ascii="Times New Roman" w:hAnsi="Times New Roman"/>
          <w:b/>
        </w:rPr>
      </w:pPr>
    </w:p>
    <w:p w:rsidR="008A5D42" w:rsidRPr="006B176A" w:rsidDel="00222C46" w:rsidRDefault="008A5D42" w:rsidP="008A5D42">
      <w:pPr>
        <w:spacing w:line="480" w:lineRule="auto"/>
        <w:rPr>
          <w:rFonts w:ascii="Times New Roman" w:hAnsi="Times New Roman"/>
        </w:rPr>
      </w:pPr>
      <w:r w:rsidRPr="006B176A">
        <w:rPr>
          <w:rFonts w:ascii="Times New Roman" w:hAnsi="Times New Roman"/>
        </w:rPr>
        <w:tab/>
        <w:t xml:space="preserve"> </w:t>
      </w:r>
      <w:r>
        <w:rPr>
          <w:rFonts w:ascii="Times New Roman" w:hAnsi="Times New Roman"/>
        </w:rPr>
        <w:t xml:space="preserve">In the hot sun </w:t>
      </w:r>
      <w:r w:rsidRPr="006B176A">
        <w:rPr>
          <w:rFonts w:ascii="Times New Roman" w:hAnsi="Times New Roman"/>
        </w:rPr>
        <w:t xml:space="preserve">we were desperate to find shade as we said our goodbyes </w:t>
      </w:r>
      <w:r>
        <w:rPr>
          <w:rFonts w:ascii="Times New Roman" w:hAnsi="Times New Roman"/>
        </w:rPr>
        <w:t xml:space="preserve">to </w:t>
      </w:r>
      <w:r w:rsidRPr="006B176A">
        <w:rPr>
          <w:rFonts w:ascii="Times New Roman" w:hAnsi="Times New Roman"/>
        </w:rPr>
        <w:t>the wizened old woman chewing coca as she sat on the cracked step of her home (which was little more than a shack).</w:t>
      </w:r>
      <w:r w:rsidR="00CB08F6">
        <w:rPr>
          <w:rFonts w:ascii="Times New Roman" w:hAnsi="Times New Roman"/>
        </w:rPr>
        <w:t>*</w:t>
      </w:r>
      <w:r w:rsidRPr="006B176A">
        <w:rPr>
          <w:rFonts w:ascii="Times New Roman" w:hAnsi="Times New Roman"/>
        </w:rPr>
        <w:t xml:space="preserve"> A young woman rushed toward our group, with tears glistening in her eyes, speaking hurriedly in Quechua, the indigenous language of the highlands of Peru. She had been looking for us since we arrived </w:t>
      </w:r>
      <w:r>
        <w:rPr>
          <w:rFonts w:ascii="Times New Roman" w:hAnsi="Times New Roman"/>
        </w:rPr>
        <w:t xml:space="preserve">in town </w:t>
      </w:r>
      <w:r w:rsidRPr="006B176A">
        <w:rPr>
          <w:rFonts w:ascii="Times New Roman" w:hAnsi="Times New Roman"/>
        </w:rPr>
        <w:t xml:space="preserve">and was grateful to </w:t>
      </w:r>
      <w:r>
        <w:rPr>
          <w:rFonts w:ascii="Times New Roman" w:hAnsi="Times New Roman"/>
        </w:rPr>
        <w:t>finally</w:t>
      </w:r>
      <w:r w:rsidRPr="006B176A">
        <w:rPr>
          <w:rFonts w:ascii="Times New Roman" w:hAnsi="Times New Roman"/>
        </w:rPr>
        <w:t xml:space="preserve"> </w:t>
      </w:r>
      <w:r>
        <w:rPr>
          <w:rFonts w:ascii="Times New Roman" w:hAnsi="Times New Roman"/>
        </w:rPr>
        <w:t>accomplish her mission</w:t>
      </w:r>
      <w:r w:rsidRPr="006B176A">
        <w:rPr>
          <w:rFonts w:ascii="Times New Roman" w:hAnsi="Times New Roman"/>
        </w:rPr>
        <w:t xml:space="preserve">. She wanted to tell us her story; to have a chance to give her testimony and be heard. </w:t>
      </w:r>
      <w:r w:rsidR="00CF0ECD">
        <w:rPr>
          <w:rFonts w:ascii="Times New Roman" w:hAnsi="Times New Roman"/>
        </w:rPr>
        <w:t>Events like this one</w:t>
      </w:r>
      <w:r>
        <w:rPr>
          <w:rFonts w:ascii="Times New Roman" w:hAnsi="Times New Roman"/>
        </w:rPr>
        <w:t xml:space="preserve"> were common during my experience as part of the 2012 UNBC/EPAF field school in Ayacucho Peru. The field school </w:t>
      </w:r>
      <w:r w:rsidRPr="006B176A">
        <w:rPr>
          <w:rFonts w:ascii="Times New Roman" w:hAnsi="Times New Roman"/>
        </w:rPr>
        <w:t>conducted by the Peruvian Foren</w:t>
      </w:r>
      <w:r w:rsidR="00CF0ECD">
        <w:rPr>
          <w:rFonts w:ascii="Times New Roman" w:hAnsi="Times New Roman"/>
        </w:rPr>
        <w:t xml:space="preserve">sic Anthropology Team (EPAF) </w:t>
      </w:r>
      <w:r>
        <w:rPr>
          <w:rFonts w:ascii="Times New Roman" w:hAnsi="Times New Roman"/>
        </w:rPr>
        <w:t xml:space="preserve">provided </w:t>
      </w:r>
      <w:r w:rsidRPr="006B176A">
        <w:rPr>
          <w:rFonts w:ascii="Times New Roman" w:hAnsi="Times New Roman"/>
        </w:rPr>
        <w:t xml:space="preserve">students </w:t>
      </w:r>
      <w:r>
        <w:rPr>
          <w:rFonts w:ascii="Times New Roman" w:hAnsi="Times New Roman"/>
        </w:rPr>
        <w:t xml:space="preserve">with the opportunity to </w:t>
      </w:r>
      <w:r w:rsidRPr="006B176A">
        <w:rPr>
          <w:rFonts w:ascii="Times New Roman" w:hAnsi="Times New Roman"/>
        </w:rPr>
        <w:t>observe and participate in post</w:t>
      </w:r>
      <w:r>
        <w:rPr>
          <w:rFonts w:ascii="Times New Roman" w:hAnsi="Times New Roman"/>
        </w:rPr>
        <w:t>-</w:t>
      </w:r>
      <w:r w:rsidRPr="006B176A">
        <w:rPr>
          <w:rFonts w:ascii="Times New Roman" w:hAnsi="Times New Roman"/>
        </w:rPr>
        <w:t xml:space="preserve">conflict projects including taking the testimony of victims and survivors of the Peruvian Civil Conflict. </w:t>
      </w:r>
    </w:p>
    <w:p w:rsidR="008A5D42" w:rsidRDefault="008A5D42" w:rsidP="008A5D42">
      <w:pPr>
        <w:spacing w:line="480" w:lineRule="auto"/>
        <w:ind w:firstLine="720"/>
        <w:rPr>
          <w:rFonts w:ascii="Times New Roman" w:hAnsi="Times New Roman"/>
        </w:rPr>
      </w:pPr>
      <w:r w:rsidRPr="008B7294">
        <w:rPr>
          <w:rFonts w:ascii="Times New Roman" w:hAnsi="Times New Roman"/>
        </w:rPr>
        <w:t>Terror, civil unrest</w:t>
      </w:r>
      <w:r w:rsidR="004E552B">
        <w:rPr>
          <w:rFonts w:ascii="Times New Roman" w:hAnsi="Times New Roman"/>
        </w:rPr>
        <w:t>,</w:t>
      </w:r>
      <w:r w:rsidRPr="008B7294">
        <w:rPr>
          <w:rFonts w:ascii="Times New Roman" w:hAnsi="Times New Roman"/>
        </w:rPr>
        <w:t xml:space="preserve"> and genocide have occurred around the world, leaving nations and individuals broken. The woman from this account was a victim of the Peruvian civil conflict, which lasted from 1980-2000</w:t>
      </w:r>
      <w:r w:rsidR="004E552B">
        <w:rPr>
          <w:rFonts w:ascii="Times New Roman" w:hAnsi="Times New Roman"/>
        </w:rPr>
        <w:t>.</w:t>
      </w:r>
      <w:r w:rsidRPr="008B7294">
        <w:rPr>
          <w:rFonts w:ascii="Times New Roman" w:hAnsi="Times New Roman"/>
        </w:rPr>
        <w:t xml:space="preserve"> </w:t>
      </w:r>
      <w:r>
        <w:t>In the wake of a series of oppressive political regimes an</w:t>
      </w:r>
      <w:r w:rsidR="00782D27">
        <w:t>d inequality of the mid 1900</w:t>
      </w:r>
      <w:r>
        <w:t>s there was growing unrest within much of South America. Within Peru civil unrest gave way to support for newly formed rebel factions based in Maoist communist ideology. One such group, the Shining Path</w:t>
      </w:r>
      <w:r w:rsidR="00782D27">
        <w:t>,</w:t>
      </w:r>
      <w:r>
        <w:t xml:space="preserve"> committed an attack on a small town in the department of Ayacucho on the eve of a local election. This event sparked over two decades of political violence that cost the lives of nearly 70</w:t>
      </w:r>
      <w:r w:rsidR="00782D27">
        <w:t>,</w:t>
      </w:r>
      <w:r>
        <w:t>000 Peruvians (Peru’s Truth and Reconciliation Commission 2003). The people of the highland communities of Ayacucho were removed from the bustling streets of the capital. For Lima residents</w:t>
      </w:r>
      <w:r w:rsidR="00782D27">
        <w:t>,</w:t>
      </w:r>
      <w:r>
        <w:t xml:space="preserve"> the indigenous people of the highlands were foreign, backward</w:t>
      </w:r>
      <w:r w:rsidR="00782D27">
        <w:t>,</w:t>
      </w:r>
      <w:r>
        <w:t xml:space="preserve"> and little more than an afterthought. As a result</w:t>
      </w:r>
      <w:r w:rsidR="004E552B">
        <w:t>,</w:t>
      </w:r>
      <w:r>
        <w:t xml:space="preserve"> the initial military orders to suppress the rebel factions gave little </w:t>
      </w:r>
      <w:r>
        <w:lastRenderedPageBreak/>
        <w:t>thought to the communities living in these regions. Mass murders were committed by both the government forces and the rebels. By 2000 the conflict was declared officially over.   A Truth and Reconciliation Commission was established to document the crimes committed</w:t>
      </w:r>
      <w:r w:rsidR="00782D27">
        <w:t>,</w:t>
      </w:r>
      <w:r>
        <w:t xml:space="preserve"> and promises of reparations were made. </w:t>
      </w:r>
      <w:r w:rsidRPr="008B7294">
        <w:rPr>
          <w:rFonts w:ascii="Times New Roman" w:hAnsi="Times New Roman"/>
        </w:rPr>
        <w:t xml:space="preserve">(Peru’s Truth and Reconciliation Commission 2003: para1). </w:t>
      </w:r>
    </w:p>
    <w:p w:rsidR="008A5D42" w:rsidRDefault="00782D27" w:rsidP="008A5D42">
      <w:pPr>
        <w:spacing w:line="480" w:lineRule="auto"/>
      </w:pPr>
      <w:r>
        <w:rPr>
          <w:rFonts w:ascii="Times New Roman" w:hAnsi="Times New Roman"/>
        </w:rPr>
        <w:tab/>
        <w:t>Many non-</w:t>
      </w:r>
      <w:r w:rsidR="008A5D42">
        <w:rPr>
          <w:rFonts w:ascii="Times New Roman" w:hAnsi="Times New Roman"/>
        </w:rPr>
        <w:t>government organizations such as EPAF have taken crucia</w:t>
      </w:r>
      <w:r w:rsidR="004E552B">
        <w:rPr>
          <w:rFonts w:ascii="Times New Roman" w:hAnsi="Times New Roman"/>
        </w:rPr>
        <w:t>l roles in the recovery of post-</w:t>
      </w:r>
      <w:r w:rsidR="008A5D42">
        <w:rPr>
          <w:rFonts w:ascii="Times New Roman" w:hAnsi="Times New Roman"/>
        </w:rPr>
        <w:t>confl</w:t>
      </w:r>
      <w:r>
        <w:rPr>
          <w:rFonts w:ascii="Times New Roman" w:hAnsi="Times New Roman"/>
        </w:rPr>
        <w:t>ict Peru. The members of EPAF are a unique team comprising socio-</w:t>
      </w:r>
      <w:r w:rsidR="008A5D42">
        <w:rPr>
          <w:rFonts w:ascii="Times New Roman" w:hAnsi="Times New Roman"/>
        </w:rPr>
        <w:t>cultural anthropologists, physical anthropologists, archaeologists</w:t>
      </w:r>
      <w:r>
        <w:rPr>
          <w:rFonts w:ascii="Times New Roman" w:hAnsi="Times New Roman"/>
        </w:rPr>
        <w:t>,</w:t>
      </w:r>
      <w:r w:rsidR="008A5D42">
        <w:rPr>
          <w:rFonts w:ascii="Times New Roman" w:hAnsi="Times New Roman"/>
        </w:rPr>
        <w:t xml:space="preserve"> and historians. The mandate for this organization is to return the bodies of the “disappeared” to their loved ones, to allow for proper burials and emotional healing for survivors. Through the development of the organization and the ongoing work, t</w:t>
      </w:r>
      <w:r>
        <w:rPr>
          <w:rFonts w:ascii="Times New Roman" w:hAnsi="Times New Roman"/>
        </w:rPr>
        <w:t>he organization has expanded it</w:t>
      </w:r>
      <w:r w:rsidR="008A5D42">
        <w:rPr>
          <w:rFonts w:ascii="Times New Roman" w:hAnsi="Times New Roman"/>
        </w:rPr>
        <w:t>s mandate to includ</w:t>
      </w:r>
      <w:r>
        <w:rPr>
          <w:rFonts w:ascii="Times New Roman" w:hAnsi="Times New Roman"/>
        </w:rPr>
        <w:t>e community projects</w:t>
      </w:r>
      <w:r w:rsidR="008A5D42">
        <w:rPr>
          <w:rFonts w:ascii="Times New Roman" w:hAnsi="Times New Roman"/>
        </w:rPr>
        <w:t xml:space="preserve"> and work dealing with memory. A vital part of this work is the taking of testimony from survivors and family members. This testimony is used to help identify bodies, provide cases with which to lobby the government</w:t>
      </w:r>
      <w:r w:rsidR="004E552B">
        <w:rPr>
          <w:rFonts w:ascii="Times New Roman" w:hAnsi="Times New Roman"/>
        </w:rPr>
        <w:t>,</w:t>
      </w:r>
      <w:r w:rsidR="008A5D42">
        <w:rPr>
          <w:rFonts w:ascii="Times New Roman" w:hAnsi="Times New Roman"/>
        </w:rPr>
        <w:t xml:space="preserve"> and also to provide a forum through which survivors can share their stories. The personal exper</w:t>
      </w:r>
      <w:r w:rsidR="004E552B">
        <w:rPr>
          <w:rFonts w:ascii="Times New Roman" w:hAnsi="Times New Roman"/>
        </w:rPr>
        <w:t>iences highlighted in this essay</w:t>
      </w:r>
      <w:r w:rsidR="008A5D42">
        <w:rPr>
          <w:rFonts w:ascii="Times New Roman" w:hAnsi="Times New Roman"/>
        </w:rPr>
        <w:t xml:space="preserve"> were the result of participation and observation of the work conducted by these anthropologists.   </w:t>
      </w:r>
    </w:p>
    <w:p w:rsidR="008A5D42" w:rsidRPr="00CF0FD2" w:rsidRDefault="008A5D42" w:rsidP="00782D27">
      <w:pPr>
        <w:spacing w:line="480" w:lineRule="auto"/>
        <w:ind w:firstLine="720"/>
      </w:pPr>
      <w:r w:rsidRPr="008B7294">
        <w:rPr>
          <w:rFonts w:ascii="Times New Roman" w:hAnsi="Times New Roman"/>
        </w:rPr>
        <w:t>How can the pain of others be understood</w:t>
      </w:r>
      <w:r w:rsidR="00D8602D">
        <w:rPr>
          <w:rFonts w:ascii="Times New Roman" w:hAnsi="Times New Roman"/>
        </w:rPr>
        <w:t>,</w:t>
      </w:r>
      <w:r w:rsidRPr="008B7294">
        <w:rPr>
          <w:rFonts w:ascii="Times New Roman" w:hAnsi="Times New Roman"/>
        </w:rPr>
        <w:t xml:space="preserve"> and what can be done with this knowledge? Language, specifically the use of testimony</w:t>
      </w:r>
      <w:r w:rsidR="00D8602D">
        <w:rPr>
          <w:rFonts w:ascii="Times New Roman" w:hAnsi="Times New Roman"/>
        </w:rPr>
        <w:t>,</w:t>
      </w:r>
      <w:r w:rsidRPr="008B7294">
        <w:rPr>
          <w:rFonts w:ascii="Times New Roman" w:hAnsi="Times New Roman"/>
        </w:rPr>
        <w:t xml:space="preserve"> has been one of the central mechanisms by which countries and individuals are rebuilt in the aftermath of civil conflict (Hamber &amp; Wilson 2002:35). Testimony is used to create an account of the ‘truth’ while also being presented as cathartic and ‘healing’ for the ‘victim’ (Hamber and Wilson 2002:35; Young 2004:150). The use of language in this context is complex. Inconsistencies have been observed between the representation of post-conflict reconciliation reported by the official report/government and that </w:t>
      </w:r>
      <w:r w:rsidRPr="008B7294">
        <w:rPr>
          <w:rFonts w:ascii="Times New Roman" w:hAnsi="Times New Roman"/>
        </w:rPr>
        <w:lastRenderedPageBreak/>
        <w:t>of the individual experience of giving testimony. This dichotomy will be highlighted by examining the use of the words ‘truth’, ‘healing’ and ‘victim’ within testimony itself, as well as discourse about testimony.</w:t>
      </w:r>
    </w:p>
    <w:p w:rsidR="008A5D42" w:rsidRDefault="008A5D42" w:rsidP="008A5D42">
      <w:pPr>
        <w:spacing w:line="480" w:lineRule="auto"/>
        <w:ind w:firstLine="720"/>
        <w:jc w:val="center"/>
        <w:rPr>
          <w:rFonts w:ascii="Times New Roman" w:hAnsi="Times New Roman"/>
        </w:rPr>
      </w:pPr>
      <w:r>
        <w:rPr>
          <w:rFonts w:ascii="Times New Roman" w:hAnsi="Times New Roman"/>
        </w:rPr>
        <w:t>Testimony</w:t>
      </w:r>
    </w:p>
    <w:p w:rsidR="008A5D42" w:rsidRPr="006B176A" w:rsidRDefault="008A5D42" w:rsidP="008A5D42">
      <w:pPr>
        <w:spacing w:line="480" w:lineRule="auto"/>
        <w:ind w:firstLine="720"/>
        <w:rPr>
          <w:rFonts w:ascii="Times New Roman" w:hAnsi="Times New Roman"/>
        </w:rPr>
      </w:pPr>
      <w:r>
        <w:rPr>
          <w:rFonts w:ascii="Times New Roman" w:hAnsi="Times New Roman"/>
        </w:rPr>
        <w:t>T</w:t>
      </w:r>
      <w:r w:rsidRPr="006B176A">
        <w:rPr>
          <w:rFonts w:ascii="Times New Roman" w:hAnsi="Times New Roman"/>
        </w:rPr>
        <w:t>estimony is a personal narrative</w:t>
      </w:r>
      <w:r>
        <w:rPr>
          <w:rFonts w:ascii="Times New Roman" w:hAnsi="Times New Roman"/>
        </w:rPr>
        <w:t>. It is a communication form infused with an air of authority and centered in the idea of truth (Pelicer-Ortin 2011)</w:t>
      </w:r>
      <w:r w:rsidRPr="006B176A">
        <w:rPr>
          <w:rFonts w:ascii="Times New Roman" w:hAnsi="Times New Roman"/>
        </w:rPr>
        <w:t>. Scholars</w:t>
      </w:r>
      <w:r>
        <w:rPr>
          <w:rFonts w:ascii="Times New Roman" w:hAnsi="Times New Roman"/>
        </w:rPr>
        <w:t xml:space="preserve"> </w:t>
      </w:r>
      <w:r w:rsidRPr="006B176A">
        <w:rPr>
          <w:rFonts w:ascii="Times New Roman" w:hAnsi="Times New Roman"/>
        </w:rPr>
        <w:t>are clear that testimony cannot simply be summed up by the word “story”. Morris (2012</w:t>
      </w:r>
      <w:r w:rsidR="00832870">
        <w:rPr>
          <w:rFonts w:ascii="Times New Roman" w:hAnsi="Times New Roman"/>
        </w:rPr>
        <w:t>:31</w:t>
      </w:r>
      <w:r w:rsidRPr="006B176A">
        <w:rPr>
          <w:rFonts w:ascii="Times New Roman" w:hAnsi="Times New Roman"/>
        </w:rPr>
        <w:t>) describes testimony as a type of communicative product, which results from human rights violations and the resto</w:t>
      </w:r>
      <w:r w:rsidR="00832870">
        <w:rPr>
          <w:rFonts w:ascii="Times New Roman" w:hAnsi="Times New Roman"/>
        </w:rPr>
        <w:t>rative process that follows</w:t>
      </w:r>
      <w:r w:rsidRPr="006B176A">
        <w:rPr>
          <w:rFonts w:ascii="Times New Roman" w:hAnsi="Times New Roman"/>
        </w:rPr>
        <w:t>. Ochs and Capps (1996</w:t>
      </w:r>
      <w:r w:rsidR="00832870">
        <w:rPr>
          <w:rFonts w:ascii="Times New Roman" w:hAnsi="Times New Roman"/>
        </w:rPr>
        <w:t>:19</w:t>
      </w:r>
      <w:r w:rsidRPr="006B176A">
        <w:rPr>
          <w:rFonts w:ascii="Times New Roman" w:hAnsi="Times New Roman"/>
        </w:rPr>
        <w:t>) emphasize the fact that this type of narrative incorporates a description of events while also incorporating the experiences and emotions o</w:t>
      </w:r>
      <w:r w:rsidR="00832870">
        <w:rPr>
          <w:rFonts w:ascii="Times New Roman" w:hAnsi="Times New Roman"/>
        </w:rPr>
        <w:t xml:space="preserve">f the narrator and </w:t>
      </w:r>
      <w:r w:rsidR="0043145F">
        <w:rPr>
          <w:rFonts w:ascii="Times New Roman" w:hAnsi="Times New Roman"/>
        </w:rPr>
        <w:t xml:space="preserve">audience. </w:t>
      </w:r>
      <w:r w:rsidRPr="006B176A">
        <w:rPr>
          <w:rFonts w:ascii="Times New Roman" w:hAnsi="Times New Roman"/>
        </w:rPr>
        <w:t>Testimony is a complex speech product, but the most significant feature of this speech genre is the endowment of agency on the testifier. Smith and Watson (2001</w:t>
      </w:r>
      <w:r w:rsidR="00832870">
        <w:rPr>
          <w:rFonts w:ascii="Times New Roman" w:hAnsi="Times New Roman"/>
        </w:rPr>
        <w:t>:45</w:t>
      </w:r>
      <w:r w:rsidRPr="006B176A">
        <w:rPr>
          <w:rFonts w:ascii="Times New Roman" w:hAnsi="Times New Roman"/>
        </w:rPr>
        <w:t xml:space="preserve">) identify this idea within their definition of </w:t>
      </w:r>
      <w:r w:rsidRPr="006B176A">
        <w:rPr>
          <w:rFonts w:ascii="Times New Roman" w:hAnsi="Times New Roman"/>
          <w:i/>
        </w:rPr>
        <w:t>testimonio: “the narrator intends to communicate the situation of a group’s oppression, struggle or imprisonment to claim some agency in the act of narrating and call upon readers to respond actively in judging a crisis</w:t>
      </w:r>
      <w:r w:rsidR="00832870">
        <w:rPr>
          <w:rFonts w:ascii="Times New Roman" w:hAnsi="Times New Roman"/>
        </w:rPr>
        <w:t>”</w:t>
      </w:r>
      <w:r w:rsidRPr="006B176A">
        <w:rPr>
          <w:rFonts w:ascii="Times New Roman" w:hAnsi="Times New Roman"/>
        </w:rPr>
        <w:t xml:space="preserve">. </w:t>
      </w:r>
      <w:r>
        <w:rPr>
          <w:rFonts w:ascii="Times New Roman" w:hAnsi="Times New Roman"/>
        </w:rPr>
        <w:t xml:space="preserve">Chatterjee (1993) describes </w:t>
      </w:r>
      <w:r>
        <w:t xml:space="preserve">collaborative narratives as an expression of resistance in the face of “master story lines” or large </w:t>
      </w:r>
      <w:r w:rsidR="00832870">
        <w:t xml:space="preserve">scale events. </w:t>
      </w:r>
      <w:r w:rsidRPr="006B176A">
        <w:rPr>
          <w:rFonts w:ascii="Times New Roman" w:hAnsi="Times New Roman"/>
        </w:rPr>
        <w:t>This w</w:t>
      </w:r>
      <w:r w:rsidR="004E552B">
        <w:rPr>
          <w:rFonts w:ascii="Times New Roman" w:hAnsi="Times New Roman"/>
        </w:rPr>
        <w:t>as observed in Peru where women</w:t>
      </w:r>
      <w:r w:rsidRPr="006B176A">
        <w:rPr>
          <w:rFonts w:ascii="Times New Roman" w:hAnsi="Times New Roman"/>
        </w:rPr>
        <w:t xml:space="preserve"> who culturally maintain</w:t>
      </w:r>
      <w:r w:rsidR="00832870">
        <w:rPr>
          <w:rFonts w:ascii="Times New Roman" w:hAnsi="Times New Roman"/>
        </w:rPr>
        <w:t>ed quiet, subservient demeanors</w:t>
      </w:r>
      <w:r w:rsidRPr="006B176A">
        <w:rPr>
          <w:rFonts w:ascii="Times New Roman" w:hAnsi="Times New Roman"/>
        </w:rPr>
        <w:t xml:space="preserve"> became assertive and vocal when providing testimony. </w:t>
      </w:r>
      <w:r>
        <w:rPr>
          <w:rFonts w:ascii="Times New Roman" w:hAnsi="Times New Roman"/>
        </w:rPr>
        <w:t>The accounts provided by the men and women of A</w:t>
      </w:r>
      <w:r w:rsidR="00832870">
        <w:rPr>
          <w:rFonts w:ascii="Times New Roman" w:hAnsi="Times New Roman"/>
        </w:rPr>
        <w:t>yacucho were not simply stories;</w:t>
      </w:r>
      <w:r>
        <w:rPr>
          <w:rFonts w:ascii="Times New Roman" w:hAnsi="Times New Roman"/>
        </w:rPr>
        <w:t xml:space="preserve"> they were testimonies, contracts and an outpouring of the fragile emotional state of a people plagued with fear and desperation. </w:t>
      </w:r>
    </w:p>
    <w:p w:rsidR="008A5D42" w:rsidRPr="006B176A" w:rsidRDefault="008A5D42" w:rsidP="008A5D42">
      <w:pPr>
        <w:spacing w:line="480" w:lineRule="auto"/>
        <w:ind w:firstLine="720"/>
        <w:rPr>
          <w:rFonts w:ascii="Times New Roman" w:hAnsi="Times New Roman"/>
        </w:rPr>
      </w:pPr>
      <w:r w:rsidRPr="006B176A">
        <w:rPr>
          <w:rFonts w:ascii="Times New Roman" w:hAnsi="Times New Roman"/>
        </w:rPr>
        <w:t xml:space="preserve">Felman and Laub (1992) describe this communication as a speech act. A speech act is an utterance that accomplishes an action by the process of producing said utterance (Baker and Hengevveld 2012). This occurs in two distinctive ways. First, testimony forms a contract between </w:t>
      </w:r>
      <w:r w:rsidRPr="006B176A">
        <w:rPr>
          <w:rFonts w:ascii="Times New Roman" w:hAnsi="Times New Roman"/>
        </w:rPr>
        <w:lastRenderedPageBreak/>
        <w:t>the testifier and the interlocutors (listener)</w:t>
      </w:r>
      <w:r w:rsidR="004E552B">
        <w:rPr>
          <w:rFonts w:ascii="Times New Roman" w:hAnsi="Times New Roman"/>
        </w:rPr>
        <w:t>,</w:t>
      </w:r>
      <w:r w:rsidRPr="006B176A">
        <w:rPr>
          <w:rFonts w:ascii="Times New Roman" w:hAnsi="Times New Roman"/>
        </w:rPr>
        <w:t xml:space="preserve"> who are expected to respond by way of acknowledgement and redress (</w:t>
      </w:r>
      <w:r>
        <w:rPr>
          <w:rFonts w:ascii="Times New Roman" w:hAnsi="Times New Roman"/>
        </w:rPr>
        <w:t xml:space="preserve">Laplante &amp; </w:t>
      </w:r>
      <w:r w:rsidRPr="006B176A">
        <w:rPr>
          <w:rFonts w:ascii="Times New Roman" w:hAnsi="Times New Roman"/>
        </w:rPr>
        <w:t xml:space="preserve">Theidon 2007:231). The significance of this communication was expressed by the members of EPAF, who described their role as a “guarantor of the memory”. The process of giving testimony is argued to provide psychological relief or ‘healing’ to the testifier (Hamber and Wilson 2002:35; Young 2004:150; </w:t>
      </w:r>
      <w:r>
        <w:rPr>
          <w:rFonts w:ascii="Times New Roman" w:hAnsi="Times New Roman"/>
        </w:rPr>
        <w:t xml:space="preserve">Laplante &amp; </w:t>
      </w:r>
      <w:r w:rsidRPr="006B176A">
        <w:rPr>
          <w:rFonts w:ascii="Times New Roman" w:hAnsi="Times New Roman"/>
        </w:rPr>
        <w:t xml:space="preserve">Theidon 2007:229).  </w:t>
      </w:r>
    </w:p>
    <w:p w:rsidR="008A5D42" w:rsidRPr="006B176A" w:rsidRDefault="00832870" w:rsidP="008A5D42">
      <w:pPr>
        <w:spacing w:line="480" w:lineRule="auto"/>
        <w:ind w:firstLine="720"/>
        <w:rPr>
          <w:rFonts w:ascii="Times New Roman" w:hAnsi="Times New Roman"/>
        </w:rPr>
      </w:pPr>
      <w:r>
        <w:rPr>
          <w:rFonts w:ascii="Times New Roman" w:hAnsi="Times New Roman"/>
        </w:rPr>
        <w:t>The use of testimony in post-</w:t>
      </w:r>
      <w:r w:rsidR="008A5D42" w:rsidRPr="006B176A">
        <w:rPr>
          <w:rFonts w:ascii="Times New Roman" w:hAnsi="Times New Roman"/>
        </w:rPr>
        <w:t>conflict societies was introduced with the first Truth and Reconciliation Commission in Uganda in 1974 (Hayner 1994:611). Since that time, the model of the Truth and Rec</w:t>
      </w:r>
      <w:r>
        <w:rPr>
          <w:rFonts w:ascii="Times New Roman" w:hAnsi="Times New Roman"/>
        </w:rPr>
        <w:t>onciliation Commission (TRC) has</w:t>
      </w:r>
      <w:r w:rsidR="008A5D42" w:rsidRPr="006B176A">
        <w:rPr>
          <w:rFonts w:ascii="Times New Roman" w:hAnsi="Times New Roman"/>
        </w:rPr>
        <w:t xml:space="preserve"> been used across the world. The purpose of a TRC is to create a comprehensive, collective account of the conflict. To accomplish this, commissions collect</w:t>
      </w:r>
      <w:r>
        <w:rPr>
          <w:rFonts w:ascii="Times New Roman" w:hAnsi="Times New Roman"/>
        </w:rPr>
        <w:t xml:space="preserve"> testimonies from victims who </w:t>
      </w:r>
      <w:r w:rsidR="008A5D42" w:rsidRPr="006B176A">
        <w:rPr>
          <w:rFonts w:ascii="Times New Roman" w:hAnsi="Times New Roman"/>
        </w:rPr>
        <w:t>are often heard during highly publicized events held in courts with spectators (Young 2004:147; Verdoolaege 2009:442). Publishing an accurate record of the violence is intended to educate the public. It is believed that a more knowledgeable citizenry will recognize and resist the reoccurrence of similar atrocities (Hayner 1994:609). These commissions do not have a judiciary ro</w:t>
      </w:r>
      <w:r>
        <w:rPr>
          <w:rFonts w:ascii="Times New Roman" w:hAnsi="Times New Roman"/>
        </w:rPr>
        <w:t>le, nor do they examine present-</w:t>
      </w:r>
      <w:r w:rsidR="008A5D42" w:rsidRPr="006B176A">
        <w:rPr>
          <w:rFonts w:ascii="Times New Roman" w:hAnsi="Times New Roman"/>
        </w:rPr>
        <w:t>day human rights conditions (Hayner 1994:609). Instead, the functions of a TRC foc</w:t>
      </w:r>
      <w:r w:rsidR="008E7E53">
        <w:rPr>
          <w:rFonts w:ascii="Times New Roman" w:hAnsi="Times New Roman"/>
        </w:rPr>
        <w:t>us on</w:t>
      </w:r>
      <w:r w:rsidR="008A5D42" w:rsidRPr="006B176A">
        <w:rPr>
          <w:rFonts w:ascii="Times New Roman" w:hAnsi="Times New Roman"/>
        </w:rPr>
        <w:t xml:space="preserve"> improving </w:t>
      </w:r>
      <w:r w:rsidR="008E7E53">
        <w:rPr>
          <w:rFonts w:ascii="Times New Roman" w:hAnsi="Times New Roman"/>
        </w:rPr>
        <w:t xml:space="preserve">the </w:t>
      </w:r>
      <w:r w:rsidR="008A5D42" w:rsidRPr="006B176A">
        <w:rPr>
          <w:rFonts w:ascii="Times New Roman" w:hAnsi="Times New Roman"/>
        </w:rPr>
        <w:t>opinion and psychological state of the nation. A TRC is an affirmation by th</w:t>
      </w:r>
      <w:r w:rsidR="008E7E53">
        <w:rPr>
          <w:rFonts w:ascii="Times New Roman" w:hAnsi="Times New Roman"/>
        </w:rPr>
        <w:t>e new head-of-state/ authority of</w:t>
      </w:r>
      <w:r w:rsidR="008A5D42" w:rsidRPr="006B176A">
        <w:rPr>
          <w:rFonts w:ascii="Times New Roman" w:hAnsi="Times New Roman"/>
        </w:rPr>
        <w:t xml:space="preserve"> respect for the law and human rights and therefore a means to strengthen autho</w:t>
      </w:r>
      <w:r>
        <w:rPr>
          <w:rFonts w:ascii="Times New Roman" w:hAnsi="Times New Roman"/>
        </w:rPr>
        <w:t>rity and popularity. A TRC plays</w:t>
      </w:r>
      <w:r w:rsidR="008A5D42" w:rsidRPr="006B176A">
        <w:rPr>
          <w:rFonts w:ascii="Times New Roman" w:hAnsi="Times New Roman"/>
        </w:rPr>
        <w:t xml:space="preserve"> a psychological role by creating a frame for public discourse and memory. In addition, a TRC also acts to legitimize the accounts told by the victims; this is established through publication and media coverage which theoretically prevents any continued</w:t>
      </w:r>
      <w:r>
        <w:rPr>
          <w:rFonts w:ascii="Times New Roman" w:hAnsi="Times New Roman"/>
        </w:rPr>
        <w:t xml:space="preserve"> denial of the atrocities that </w:t>
      </w:r>
      <w:r w:rsidR="008A5D42" w:rsidRPr="006B176A">
        <w:rPr>
          <w:rFonts w:ascii="Times New Roman" w:hAnsi="Times New Roman"/>
        </w:rPr>
        <w:t>occurred (Hayner 1</w:t>
      </w:r>
      <w:r w:rsidR="008A5D42">
        <w:rPr>
          <w:rFonts w:ascii="Times New Roman" w:hAnsi="Times New Roman"/>
        </w:rPr>
        <w:t>994:608; Wilson and Hamber 2002:</w:t>
      </w:r>
      <w:r w:rsidR="008A5D42" w:rsidRPr="006B176A">
        <w:rPr>
          <w:rFonts w:ascii="Times New Roman" w:hAnsi="Times New Roman"/>
        </w:rPr>
        <w:t>36). Autho</w:t>
      </w:r>
      <w:r w:rsidR="008E7E53">
        <w:rPr>
          <w:rFonts w:ascii="Times New Roman" w:hAnsi="Times New Roman"/>
        </w:rPr>
        <w:t>rs such as Hayner (1994</w:t>
      </w:r>
      <w:r>
        <w:rPr>
          <w:rFonts w:ascii="Times New Roman" w:hAnsi="Times New Roman"/>
        </w:rPr>
        <w:t>:608</w:t>
      </w:r>
      <w:r w:rsidR="008E7E53">
        <w:rPr>
          <w:rFonts w:ascii="Times New Roman" w:hAnsi="Times New Roman"/>
        </w:rPr>
        <w:t>) observe</w:t>
      </w:r>
      <w:r w:rsidR="008A5D42" w:rsidRPr="006B176A">
        <w:rPr>
          <w:rFonts w:ascii="Times New Roman" w:hAnsi="Times New Roman"/>
        </w:rPr>
        <w:t xml:space="preserve"> that the creation of a TRC may be a </w:t>
      </w:r>
      <w:r w:rsidR="008A5D42" w:rsidRPr="006B176A">
        <w:rPr>
          <w:rFonts w:ascii="Times New Roman" w:hAnsi="Times New Roman"/>
        </w:rPr>
        <w:lastRenderedPageBreak/>
        <w:t>reflection</w:t>
      </w:r>
      <w:r w:rsidR="008E7E53">
        <w:rPr>
          <w:rFonts w:ascii="Times New Roman" w:hAnsi="Times New Roman"/>
        </w:rPr>
        <w:t xml:space="preserve"> of a change within the country’</w:t>
      </w:r>
      <w:r w:rsidR="008A5D42" w:rsidRPr="006B176A">
        <w:rPr>
          <w:rFonts w:ascii="Times New Roman" w:hAnsi="Times New Roman"/>
        </w:rPr>
        <w:t>s social structure or it may simply be a political tool to gain supp</w:t>
      </w:r>
      <w:r>
        <w:rPr>
          <w:rFonts w:ascii="Times New Roman" w:hAnsi="Times New Roman"/>
        </w:rPr>
        <w:t>ort in an unstable country</w:t>
      </w:r>
      <w:r w:rsidR="008A5D42" w:rsidRPr="006B176A">
        <w:rPr>
          <w:rFonts w:ascii="Times New Roman" w:hAnsi="Times New Roman"/>
        </w:rPr>
        <w:t xml:space="preserve">. </w:t>
      </w:r>
    </w:p>
    <w:p w:rsidR="008A5D42" w:rsidRPr="006B176A" w:rsidRDefault="008A5D42" w:rsidP="008A5D42">
      <w:pPr>
        <w:spacing w:line="480" w:lineRule="auto"/>
        <w:ind w:firstLine="720"/>
        <w:rPr>
          <w:rFonts w:ascii="Times New Roman" w:hAnsi="Times New Roman"/>
        </w:rPr>
      </w:pPr>
      <w:r w:rsidRPr="006B176A">
        <w:rPr>
          <w:rFonts w:ascii="Times New Roman" w:hAnsi="Times New Roman"/>
        </w:rPr>
        <w:t>TRC hearings are only one way in which victims can express te</w:t>
      </w:r>
      <w:r w:rsidR="004E552B">
        <w:rPr>
          <w:rFonts w:ascii="Times New Roman" w:hAnsi="Times New Roman"/>
        </w:rPr>
        <w:t xml:space="preserve">stimony. Jolly </w:t>
      </w:r>
      <w:r w:rsidR="0043507D">
        <w:rPr>
          <w:rFonts w:ascii="Times New Roman" w:hAnsi="Times New Roman"/>
        </w:rPr>
        <w:t>identifies</w:t>
      </w:r>
      <w:r w:rsidR="004E552B">
        <w:rPr>
          <w:rFonts w:ascii="Times New Roman" w:hAnsi="Times New Roman"/>
        </w:rPr>
        <w:t xml:space="preserve"> </w:t>
      </w:r>
      <w:r w:rsidRPr="006B176A">
        <w:rPr>
          <w:rFonts w:ascii="Times New Roman" w:hAnsi="Times New Roman"/>
        </w:rPr>
        <w:t>both official and unofficial testimony as separate categories in contemporary human rights. These two frames are distinguished based on the presence o</w:t>
      </w:r>
      <w:r>
        <w:rPr>
          <w:rFonts w:ascii="Times New Roman" w:hAnsi="Times New Roman"/>
        </w:rPr>
        <w:t>r</w:t>
      </w:r>
      <w:r w:rsidRPr="006B176A">
        <w:rPr>
          <w:rFonts w:ascii="Times New Roman" w:hAnsi="Times New Roman"/>
        </w:rPr>
        <w:t xml:space="preserve"> lack of commission/government sanctioning (in Morris 2012:33). The report created by a TRC is comprised of official testimonies, which have been edited and are often reduced from the original format (Morris 2012:5). Unofficial testimony may result from informal meetings, community events</w:t>
      </w:r>
      <w:r w:rsidR="00EF1CD2">
        <w:rPr>
          <w:rFonts w:ascii="Times New Roman" w:hAnsi="Times New Roman"/>
        </w:rPr>
        <w:t>,</w:t>
      </w:r>
      <w:r w:rsidRPr="006B176A">
        <w:rPr>
          <w:rFonts w:ascii="Times New Roman" w:hAnsi="Times New Roman"/>
        </w:rPr>
        <w:t xml:space="preserve"> or victims gathering together; in these cases scholars have described the communicative form as “storytelling” (Morris 2012:33). The difference between these two communicative contexts is significant when considering the dichotomy between the </w:t>
      </w:r>
      <w:r w:rsidR="00EF1CD2">
        <w:rPr>
          <w:rFonts w:ascii="Times New Roman" w:hAnsi="Times New Roman"/>
        </w:rPr>
        <w:t>national representation of post-</w:t>
      </w:r>
      <w:r w:rsidRPr="006B176A">
        <w:rPr>
          <w:rFonts w:ascii="Times New Roman" w:hAnsi="Times New Roman"/>
        </w:rPr>
        <w:t xml:space="preserve">conflict testimony and the description of testifying provided by the victims individually.   </w:t>
      </w:r>
    </w:p>
    <w:p w:rsidR="008A5D42" w:rsidRPr="006B176A" w:rsidRDefault="008A5D42" w:rsidP="008A5D42">
      <w:pPr>
        <w:spacing w:line="480" w:lineRule="auto"/>
        <w:ind w:firstLine="720"/>
        <w:rPr>
          <w:rFonts w:ascii="Times New Roman" w:hAnsi="Times New Roman"/>
        </w:rPr>
      </w:pPr>
      <w:r w:rsidRPr="006B176A">
        <w:rPr>
          <w:rFonts w:ascii="Times New Roman" w:hAnsi="Times New Roman"/>
        </w:rPr>
        <w:t xml:space="preserve">Official testimony is a formal process. This is exemplified through the use of space, as well as the content. It is usually described as a “podium event” in which the testifier and commissioners (identified as ratified speakers) are positioned on a stage, apart from the audience (non-ratified speakers) (Verdoolaege 2009:444). Some authors have described the event as “theatrical”, with a profound influence stemming from the presence of media (Verdoolaege 2009:441). Additionally, the material included in the final published report is edited and controlled by the commission. Hayner (1994) notes that the choices made are indicative of political motivations. The choice of language and content within the TRC will be further discussed within the frame of “truth”. </w:t>
      </w:r>
    </w:p>
    <w:p w:rsidR="008A5D42" w:rsidRPr="006B176A" w:rsidRDefault="008A5D42" w:rsidP="008A5D42">
      <w:pPr>
        <w:spacing w:line="480" w:lineRule="auto"/>
        <w:ind w:firstLine="720"/>
        <w:rPr>
          <w:rFonts w:ascii="Times New Roman" w:hAnsi="Times New Roman"/>
        </w:rPr>
      </w:pPr>
      <w:r w:rsidRPr="006B176A">
        <w:rPr>
          <w:rFonts w:ascii="Times New Roman" w:hAnsi="Times New Roman"/>
        </w:rPr>
        <w:t xml:space="preserve">The application of an official testimony also differentiates it from unofficial testimony. The process of creating an official record from personal testimony is used to ascribe a collective identity to the nation as a whole (Hamber &amp; Wilson 2002:35). Labov similarly concluded that a </w:t>
      </w:r>
      <w:r w:rsidRPr="006B176A">
        <w:rPr>
          <w:rFonts w:ascii="Times New Roman" w:hAnsi="Times New Roman"/>
        </w:rPr>
        <w:lastRenderedPageBreak/>
        <w:t>group identity can be forged through narrative in which events, stances</w:t>
      </w:r>
      <w:r w:rsidR="00EF1CD2">
        <w:rPr>
          <w:rFonts w:ascii="Times New Roman" w:hAnsi="Times New Roman"/>
        </w:rPr>
        <w:t>,</w:t>
      </w:r>
      <w:r w:rsidRPr="006B176A">
        <w:rPr>
          <w:rFonts w:ascii="Times New Roman" w:hAnsi="Times New Roman"/>
        </w:rPr>
        <w:t xml:space="preserve"> an</w:t>
      </w:r>
      <w:r w:rsidR="00EF1CD2">
        <w:rPr>
          <w:rFonts w:ascii="Times New Roman" w:hAnsi="Times New Roman"/>
        </w:rPr>
        <w:t>d opinions towards those events</w:t>
      </w:r>
      <w:r w:rsidRPr="006B176A">
        <w:rPr>
          <w:rFonts w:ascii="Times New Roman" w:hAnsi="Times New Roman"/>
        </w:rPr>
        <w:t xml:space="preserve"> are linked (Baquedano-Lopez 1997:27). Through a TRC, the individual experience of a testifier is expanded to encompass the entire nation. Baqueedano-Lopez (1997</w:t>
      </w:r>
      <w:r w:rsidR="00EF1CD2">
        <w:rPr>
          <w:rFonts w:ascii="Times New Roman" w:hAnsi="Times New Roman"/>
        </w:rPr>
        <w:t>:375</w:t>
      </w:r>
      <w:r w:rsidRPr="006B176A">
        <w:rPr>
          <w:rFonts w:ascii="Times New Roman" w:hAnsi="Times New Roman"/>
        </w:rPr>
        <w:t xml:space="preserve">) observed a similar phenomenon when exploring the development of social identities in Latino children learning the story of </w:t>
      </w:r>
      <w:r w:rsidRPr="006B176A">
        <w:rPr>
          <w:rFonts w:ascii="Times New Roman" w:hAnsi="Times New Roman"/>
          <w:i/>
        </w:rPr>
        <w:t>Nuestra Senora de Guadalupe</w:t>
      </w:r>
      <w:r w:rsidRPr="006B176A">
        <w:rPr>
          <w:rFonts w:ascii="Times New Roman" w:hAnsi="Times New Roman"/>
        </w:rPr>
        <w:t xml:space="preserve"> (a Mexican apparition of the Virgin Mary). In this example, the formation of a collaborative narrative, which incorporated multiple accounts of interactions with the Virgin Mary, allowed for the formation of a group identity encapsulating the Latino st</w:t>
      </w:r>
      <w:r w:rsidR="00EF1CD2">
        <w:rPr>
          <w:rFonts w:ascii="Times New Roman" w:hAnsi="Times New Roman"/>
        </w:rPr>
        <w:t>udents</w:t>
      </w:r>
      <w:r w:rsidRPr="006B176A">
        <w:rPr>
          <w:rFonts w:ascii="Times New Roman" w:hAnsi="Times New Roman"/>
        </w:rPr>
        <w:t xml:space="preserve">. In a similar way, the TRC merges the stories of thousands of victims and then uses identifier language, which allows for all members of the country to consider themselves included, despite the fact that in many cases (such as Peru), it was a specific population within the country that was targeted.        </w:t>
      </w:r>
    </w:p>
    <w:p w:rsidR="008A5D42" w:rsidRPr="006B176A" w:rsidRDefault="008A5D42" w:rsidP="008A5D42">
      <w:pPr>
        <w:spacing w:line="480" w:lineRule="auto"/>
        <w:ind w:firstLine="720"/>
        <w:rPr>
          <w:rFonts w:ascii="Times New Roman" w:hAnsi="Times New Roman"/>
          <w:color w:val="FF0000"/>
        </w:rPr>
      </w:pPr>
      <w:r w:rsidRPr="006B176A">
        <w:rPr>
          <w:rFonts w:ascii="Times New Roman" w:hAnsi="Times New Roman"/>
        </w:rPr>
        <w:t>Unofficial testimony, on the other hand, is unsanctioned by the transi</w:t>
      </w:r>
      <w:r w:rsidR="00EF1CD2">
        <w:rPr>
          <w:rFonts w:ascii="Times New Roman" w:hAnsi="Times New Roman"/>
        </w:rPr>
        <w:t>tional government or commission</w:t>
      </w:r>
      <w:r w:rsidRPr="006B176A">
        <w:rPr>
          <w:rFonts w:ascii="Times New Roman" w:hAnsi="Times New Roman"/>
        </w:rPr>
        <w:t xml:space="preserve"> and as such is unhampered by official processes or structures (Morris 2012:33). The testimonies</w:t>
      </w:r>
      <w:r>
        <w:rPr>
          <w:rFonts w:ascii="Times New Roman" w:hAnsi="Times New Roman"/>
        </w:rPr>
        <w:t xml:space="preserve"> I was involved in</w:t>
      </w:r>
      <w:r w:rsidRPr="006B176A">
        <w:rPr>
          <w:rFonts w:ascii="Times New Roman" w:hAnsi="Times New Roman"/>
        </w:rPr>
        <w:t xml:space="preserve"> collect</w:t>
      </w:r>
      <w:r>
        <w:rPr>
          <w:rFonts w:ascii="Times New Roman" w:hAnsi="Times New Roman"/>
        </w:rPr>
        <w:t xml:space="preserve">ing as part of the </w:t>
      </w:r>
      <w:r w:rsidRPr="006B176A">
        <w:rPr>
          <w:rFonts w:ascii="Times New Roman" w:hAnsi="Times New Roman"/>
        </w:rPr>
        <w:t xml:space="preserve">2012 field school provide examples of unofficial testimony. These interactions were less formal compared to the official commission interviews. However, the structure and use of space was not unlike the official testimony. The testifier and primary facilitator held central positions and could be classified as the ratified speakers. </w:t>
      </w:r>
      <w:r>
        <w:rPr>
          <w:rFonts w:ascii="Times New Roman" w:hAnsi="Times New Roman"/>
        </w:rPr>
        <w:t xml:space="preserve">As a student I was instructed </w:t>
      </w:r>
      <w:r w:rsidRPr="006B176A">
        <w:rPr>
          <w:rFonts w:ascii="Times New Roman" w:hAnsi="Times New Roman"/>
        </w:rPr>
        <w:t>to remain silent unless specifically addressed</w:t>
      </w:r>
      <w:r>
        <w:rPr>
          <w:rFonts w:ascii="Times New Roman" w:hAnsi="Times New Roman"/>
        </w:rPr>
        <w:t xml:space="preserve">. I was paired with a small group of students, about five, and we were in turn paired with an EPAF anthropologist. The anthropologist took the central position in the interview, sitting very near to Mama A. The other students and I were set apart from the main speakers providing a false sense of privacy as our EPAF guide conducted his work. Mama A. </w:t>
      </w:r>
      <w:r w:rsidR="00EF1CD2">
        <w:rPr>
          <w:rFonts w:ascii="Times New Roman" w:hAnsi="Times New Roman"/>
        </w:rPr>
        <w:t>would whisper, leaning in close, o</w:t>
      </w:r>
      <w:r>
        <w:rPr>
          <w:rFonts w:ascii="Times New Roman" w:hAnsi="Times New Roman"/>
        </w:rPr>
        <w:t>ffering the anthropologist the possibility to lay a light hand on her shoulder as reassurance. When our EPAF guide deemed the situation appropriate</w:t>
      </w:r>
      <w:r w:rsidR="00EF1CD2">
        <w:rPr>
          <w:rFonts w:ascii="Times New Roman" w:hAnsi="Times New Roman"/>
        </w:rPr>
        <w:t>,</w:t>
      </w:r>
      <w:r>
        <w:rPr>
          <w:rFonts w:ascii="Times New Roman" w:hAnsi="Times New Roman"/>
        </w:rPr>
        <w:t xml:space="preserve"> he would relay the information to our </w:t>
      </w:r>
      <w:r>
        <w:rPr>
          <w:rFonts w:ascii="Times New Roman" w:hAnsi="Times New Roman"/>
        </w:rPr>
        <w:lastRenderedPageBreak/>
        <w:t xml:space="preserve">English translator. </w:t>
      </w:r>
      <w:r w:rsidRPr="006B176A">
        <w:rPr>
          <w:rFonts w:ascii="Times New Roman" w:hAnsi="Times New Roman"/>
        </w:rPr>
        <w:t>As such</w:t>
      </w:r>
      <w:r w:rsidR="00EF1CD2">
        <w:rPr>
          <w:rFonts w:ascii="Times New Roman" w:hAnsi="Times New Roman"/>
        </w:rPr>
        <w:t>, the students w</w:t>
      </w:r>
      <w:r w:rsidRPr="006B176A">
        <w:rPr>
          <w:rFonts w:ascii="Times New Roman" w:hAnsi="Times New Roman"/>
        </w:rPr>
        <w:t xml:space="preserve">ould be described as non-ratified speakers (Verdoolaege 2008:5). The testifiers spoke directly to the facilitator. When these interviews were completed, the level of formality decreased, and many of the women we spoke to receded to less central locations and often remained silent. For many of these individuals, providing testimony had become routine. The familiarity of process may have influenced the formality observed within these examples of unofficial testimony.  </w:t>
      </w:r>
    </w:p>
    <w:p w:rsidR="008E7E53" w:rsidRPr="009D2C92" w:rsidRDefault="008A5D42" w:rsidP="009D2C92">
      <w:pPr>
        <w:spacing w:line="480" w:lineRule="auto"/>
        <w:ind w:firstLine="720"/>
        <w:rPr>
          <w:rFonts w:ascii="Times New Roman" w:hAnsi="Times New Roman"/>
        </w:rPr>
      </w:pPr>
      <w:r w:rsidRPr="006B176A">
        <w:rPr>
          <w:rFonts w:ascii="Times New Roman" w:hAnsi="Times New Roman"/>
        </w:rPr>
        <w:t>The interviews conducted by EPAF with survivors in Ayacucho, Peru were indicative of some of the limitations of official testimony.</w:t>
      </w:r>
      <w:r>
        <w:rPr>
          <w:rFonts w:ascii="Times New Roman" w:hAnsi="Times New Roman"/>
        </w:rPr>
        <w:t xml:space="preserve"> One of these concerns highlighted by the members of EPAF </w:t>
      </w:r>
      <w:r w:rsidRPr="006B176A">
        <w:rPr>
          <w:rFonts w:ascii="Times New Roman" w:hAnsi="Times New Roman"/>
        </w:rPr>
        <w:t>associated with the Peruvian TRC is the significant number of individuals who were affected</w:t>
      </w:r>
      <w:r>
        <w:rPr>
          <w:rFonts w:ascii="Times New Roman" w:hAnsi="Times New Roman"/>
        </w:rPr>
        <w:t xml:space="preserve"> by the conflict</w:t>
      </w:r>
      <w:r w:rsidRPr="006B176A">
        <w:rPr>
          <w:rFonts w:ascii="Times New Roman" w:hAnsi="Times New Roman"/>
        </w:rPr>
        <w:t xml:space="preserve"> but did not speak</w:t>
      </w:r>
      <w:r>
        <w:rPr>
          <w:rFonts w:ascii="Times New Roman" w:hAnsi="Times New Roman"/>
        </w:rPr>
        <w:t xml:space="preserve"> about their experiences when the TRC testimonies were being taken</w:t>
      </w:r>
      <w:r w:rsidRPr="006B176A">
        <w:rPr>
          <w:rFonts w:ascii="Times New Roman" w:hAnsi="Times New Roman"/>
        </w:rPr>
        <w:t>. Some victims chose not participate in the TRC because they were required to indicate whom they supported in the conflict. Group affiliation was the source of many deaths and disappearances during the violence. With this knowledge, it is easy to understand why many survivors were distrustful of the TRC officials. In addition, many communities and families were divided in their support</w:t>
      </w:r>
      <w:r w:rsidR="002C3121">
        <w:rPr>
          <w:rFonts w:ascii="Times New Roman" w:hAnsi="Times New Roman"/>
        </w:rPr>
        <w:t>,</w:t>
      </w:r>
      <w:r w:rsidRPr="006B176A">
        <w:rPr>
          <w:rFonts w:ascii="Times New Roman" w:hAnsi="Times New Roman"/>
        </w:rPr>
        <w:t xml:space="preserve"> and therefore to provide testimony would often implicate a relative or neighbor. In some communities, the decision has been to maintain peace by silence. As such, these testimonies were not included in the TRC. Some of these individuals were comfortable speaking unofficially about their experience. The willingness to share details in unofficial testimony was increased with the use of the indigenous language as well as an established relationship with the individual and community. Morris (2012</w:t>
      </w:r>
      <w:r w:rsidR="009B6C78">
        <w:rPr>
          <w:rFonts w:ascii="Times New Roman" w:hAnsi="Times New Roman"/>
        </w:rPr>
        <w:t>:162</w:t>
      </w:r>
      <w:r w:rsidRPr="006B176A">
        <w:rPr>
          <w:rFonts w:ascii="Times New Roman" w:hAnsi="Times New Roman"/>
        </w:rPr>
        <w:t>) similarly observed that increased detail was included in unofficial testimoni</w:t>
      </w:r>
      <w:r w:rsidR="009B6C78">
        <w:rPr>
          <w:rFonts w:ascii="Times New Roman" w:hAnsi="Times New Roman"/>
        </w:rPr>
        <w:t>es as compared to official</w:t>
      </w:r>
      <w:r w:rsidRPr="006B176A">
        <w:rPr>
          <w:rFonts w:ascii="Times New Roman" w:hAnsi="Times New Roman"/>
        </w:rPr>
        <w:t xml:space="preserve">. The choice to speak as part of a TRC is a very carefully considered action, which is dependent on many extrinsic factors. </w:t>
      </w:r>
    </w:p>
    <w:p w:rsidR="009D2C92" w:rsidRDefault="009D2C92" w:rsidP="008A5D42">
      <w:pPr>
        <w:spacing w:line="480" w:lineRule="auto"/>
        <w:jc w:val="center"/>
        <w:rPr>
          <w:rFonts w:ascii="Times New Roman" w:hAnsi="Times New Roman"/>
        </w:rPr>
      </w:pPr>
    </w:p>
    <w:p w:rsidR="008A5D42" w:rsidRPr="009D2C92" w:rsidRDefault="009D2C92" w:rsidP="008A5D42">
      <w:pPr>
        <w:spacing w:line="480" w:lineRule="auto"/>
        <w:jc w:val="center"/>
        <w:rPr>
          <w:rFonts w:ascii="Times New Roman" w:hAnsi="Times New Roman"/>
        </w:rPr>
      </w:pPr>
      <w:r>
        <w:rPr>
          <w:rFonts w:ascii="Times New Roman" w:hAnsi="Times New Roman"/>
        </w:rPr>
        <w:lastRenderedPageBreak/>
        <w:t>Truth</w:t>
      </w:r>
    </w:p>
    <w:p w:rsidR="008A5D42" w:rsidRPr="006B176A" w:rsidRDefault="008A5D42" w:rsidP="008A5D42">
      <w:pPr>
        <w:pStyle w:val="NormalWeb"/>
        <w:spacing w:before="2" w:after="2" w:line="480" w:lineRule="auto"/>
        <w:ind w:firstLine="720"/>
        <w:rPr>
          <w:rFonts w:ascii="Times New Roman" w:hAnsi="Times New Roman"/>
          <w:sz w:val="24"/>
        </w:rPr>
      </w:pPr>
      <w:r w:rsidRPr="006B176A">
        <w:rPr>
          <w:rFonts w:ascii="Times New Roman" w:hAnsi="Times New Roman"/>
          <w:sz w:val="24"/>
        </w:rPr>
        <w:t xml:space="preserve">The concept of ‘truth’ is central to the process of rebuilding post-conflict nations. This is demonstrated in the name </w:t>
      </w:r>
      <w:r w:rsidRPr="006B176A">
        <w:rPr>
          <w:rFonts w:ascii="Times New Roman" w:hAnsi="Times New Roman"/>
          <w:i/>
          <w:sz w:val="24"/>
        </w:rPr>
        <w:t>Truth and Reconciliation Commission</w:t>
      </w:r>
      <w:r w:rsidRPr="006B176A">
        <w:rPr>
          <w:rFonts w:ascii="Times New Roman" w:hAnsi="Times New Roman"/>
          <w:sz w:val="24"/>
        </w:rPr>
        <w:t>. “Truth commissions by their name and nature, promise to deliver the truth…for the purpose of helping a wounded nation to heal.” (Daly 2008:24). Truth is also a central feature of many definitions for testimony. For example, Pellicer-Ortin (2011</w:t>
      </w:r>
      <w:r w:rsidR="000F7E11">
        <w:rPr>
          <w:rFonts w:ascii="Times New Roman" w:hAnsi="Times New Roman"/>
          <w:sz w:val="24"/>
        </w:rPr>
        <w:t>:73</w:t>
      </w:r>
      <w:r w:rsidRPr="006B176A">
        <w:rPr>
          <w:rFonts w:ascii="Times New Roman" w:hAnsi="Times New Roman"/>
          <w:sz w:val="24"/>
        </w:rPr>
        <w:t>) describes testimony narrative framed as a depiction of truth, which typically involves pain and suffering and is told by a</w:t>
      </w:r>
      <w:r w:rsidR="000F7E11">
        <w:rPr>
          <w:rFonts w:ascii="Times New Roman" w:hAnsi="Times New Roman"/>
          <w:sz w:val="24"/>
        </w:rPr>
        <w:t xml:space="preserve"> survivor to another person</w:t>
      </w:r>
      <w:r w:rsidRPr="006B176A">
        <w:rPr>
          <w:rFonts w:ascii="Times New Roman" w:hAnsi="Times New Roman"/>
          <w:sz w:val="24"/>
        </w:rPr>
        <w:t xml:space="preserve">. While ‘truth’ is given central importance in the context of human rights, there is little by way of an accurate definition of truth used in these contexts. Desmond Tutu described four types of truth found within the South African Commission: 1) the objective corroborated truth which is obtained through forensic investigation; 2) a personal storytelling or personal narrative truth; 3) a transcendent truth which is achieved through debate and dialogue; </w:t>
      </w:r>
      <w:r w:rsidR="000F7E11">
        <w:rPr>
          <w:rFonts w:ascii="Times New Roman" w:hAnsi="Times New Roman"/>
          <w:sz w:val="24"/>
        </w:rPr>
        <w:t>and 4) sense-</w:t>
      </w:r>
      <w:r w:rsidRPr="006B176A">
        <w:rPr>
          <w:rFonts w:ascii="Times New Roman" w:hAnsi="Times New Roman"/>
          <w:sz w:val="24"/>
        </w:rPr>
        <w:t>making contextual truth which is for the purpose of healing and restorative purposes (</w:t>
      </w:r>
      <w:r w:rsidR="000F7E11">
        <w:rPr>
          <w:rFonts w:ascii="Times New Roman" w:hAnsi="Times New Roman"/>
          <w:sz w:val="24"/>
          <w:szCs w:val="24"/>
        </w:rPr>
        <w:t>South African Commission of Truth and Reconciliation</w:t>
      </w:r>
      <w:r w:rsidRPr="006B176A">
        <w:rPr>
          <w:rFonts w:ascii="Times New Roman" w:hAnsi="Times New Roman"/>
          <w:sz w:val="24"/>
          <w:szCs w:val="24"/>
        </w:rPr>
        <w:t xml:space="preserve"> 1998</w:t>
      </w:r>
      <w:r w:rsidRPr="006B176A">
        <w:rPr>
          <w:rFonts w:ascii="Times New Roman" w:hAnsi="Times New Roman"/>
          <w:sz w:val="24"/>
        </w:rPr>
        <w:t>). Morris (2012), among other authors</w:t>
      </w:r>
      <w:r w:rsidR="002C3121">
        <w:rPr>
          <w:rFonts w:ascii="Times New Roman" w:hAnsi="Times New Roman"/>
          <w:sz w:val="24"/>
        </w:rPr>
        <w:t>,</w:t>
      </w:r>
      <w:r w:rsidRPr="006B176A">
        <w:rPr>
          <w:rFonts w:ascii="Times New Roman" w:hAnsi="Times New Roman"/>
          <w:sz w:val="24"/>
        </w:rPr>
        <w:t xml:space="preserve"> questions the linguistic value of the categories described by Desmond Tutu. However, these distinctions clearly highlight the reality that there are many different perspectives of “truth” within these human rights cases.  </w:t>
      </w:r>
    </w:p>
    <w:p w:rsidR="008A5D42" w:rsidRPr="006B176A" w:rsidRDefault="008A5D42" w:rsidP="008A5D42">
      <w:pPr>
        <w:spacing w:line="480" w:lineRule="auto"/>
        <w:rPr>
          <w:rFonts w:ascii="Times New Roman" w:hAnsi="Times New Roman"/>
        </w:rPr>
      </w:pPr>
      <w:r w:rsidRPr="006B176A">
        <w:rPr>
          <w:rFonts w:ascii="Times New Roman" w:hAnsi="Times New Roman"/>
        </w:rPr>
        <w:tab/>
        <w:t>The truth that is sought out by Truth and Reconciliation Commissions is dependent on the parameters established in the creation of the commission. This is usually dependent on presidential decree, legislation</w:t>
      </w:r>
      <w:r w:rsidR="000F7E11">
        <w:rPr>
          <w:rFonts w:ascii="Times New Roman" w:hAnsi="Times New Roman"/>
        </w:rPr>
        <w:t>,</w:t>
      </w:r>
      <w:r w:rsidRPr="006B176A">
        <w:rPr>
          <w:rFonts w:ascii="Times New Roman" w:hAnsi="Times New Roman"/>
        </w:rPr>
        <w:t xml:space="preserve"> and/or the terms of peace agreements (Hayner 1994:607). Specifically, the definition of investigatory power may limit the areas and offenses that can be examined. This was the case in Uganda in which the TRC was restricted to illegal detention and torture. As a result, many human rights cases were ignored. Hayner (1994) notes that another area </w:t>
      </w:r>
      <w:r w:rsidRPr="006B176A">
        <w:rPr>
          <w:rFonts w:ascii="Times New Roman" w:hAnsi="Times New Roman"/>
        </w:rPr>
        <w:lastRenderedPageBreak/>
        <w:t>that is often ignored in the search for ‘truth’ is the international role in these conflicts. From the perspective of a TRC, the ‘truth’ is defined by the political value of the account.</w:t>
      </w:r>
    </w:p>
    <w:p w:rsidR="008A5D42" w:rsidRPr="006B176A" w:rsidRDefault="008A5D42" w:rsidP="008A5D42">
      <w:pPr>
        <w:spacing w:line="480" w:lineRule="auto"/>
        <w:rPr>
          <w:rFonts w:ascii="Times New Roman" w:hAnsi="Times New Roman"/>
        </w:rPr>
      </w:pPr>
      <w:r w:rsidRPr="006B176A">
        <w:rPr>
          <w:rFonts w:ascii="Times New Roman" w:hAnsi="Times New Roman"/>
        </w:rPr>
        <w:tab/>
        <w:t>Duranti (2006</w:t>
      </w:r>
      <w:r w:rsidR="007424AC">
        <w:rPr>
          <w:rFonts w:ascii="Times New Roman" w:hAnsi="Times New Roman"/>
        </w:rPr>
        <w:t>:264</w:t>
      </w:r>
      <w:r w:rsidRPr="006B176A">
        <w:rPr>
          <w:rFonts w:ascii="Times New Roman" w:hAnsi="Times New Roman"/>
        </w:rPr>
        <w:t xml:space="preserve">) identifies the use of narrative as a political tool, which can be used to construct a moral image of a political candidate. He comments that the particular concern for issues of truth, within a </w:t>
      </w:r>
      <w:r w:rsidR="007424AC">
        <w:rPr>
          <w:rFonts w:ascii="Times New Roman" w:hAnsi="Times New Roman"/>
        </w:rPr>
        <w:t>political campaign, help create</w:t>
      </w:r>
      <w:r w:rsidRPr="006B176A">
        <w:rPr>
          <w:rFonts w:ascii="Times New Roman" w:hAnsi="Times New Roman"/>
        </w:rPr>
        <w:t xml:space="preserve"> wh</w:t>
      </w:r>
      <w:r>
        <w:rPr>
          <w:rFonts w:ascii="Times New Roman" w:hAnsi="Times New Roman"/>
        </w:rPr>
        <w:t>at</w:t>
      </w:r>
      <w:r w:rsidRPr="006B176A">
        <w:rPr>
          <w:rFonts w:ascii="Times New Roman" w:hAnsi="Times New Roman"/>
        </w:rPr>
        <w:t xml:space="preserve"> he call</w:t>
      </w:r>
      <w:r w:rsidR="007424AC">
        <w:rPr>
          <w:rFonts w:ascii="Times New Roman" w:hAnsi="Times New Roman"/>
        </w:rPr>
        <w:t>s “existential coherence”</w:t>
      </w:r>
      <w:r w:rsidRPr="006B176A">
        <w:rPr>
          <w:rFonts w:ascii="Times New Roman" w:hAnsi="Times New Roman"/>
        </w:rPr>
        <w:t xml:space="preserve">. This is an important mechanism by which </w:t>
      </w:r>
      <w:r>
        <w:rPr>
          <w:rFonts w:ascii="Times New Roman" w:hAnsi="Times New Roman"/>
        </w:rPr>
        <w:t xml:space="preserve">political </w:t>
      </w:r>
      <w:r w:rsidRPr="006B176A">
        <w:rPr>
          <w:rFonts w:ascii="Times New Roman" w:hAnsi="Times New Roman"/>
        </w:rPr>
        <w:t>candidates are able to personify themselves to the general public. Truth and Reconciliation commissions operate under a similar mechanism. In the wake of a civil conflict, transitional governments are in need of a positive popular opinion and a renewed sense of morality in the face of the atrocities that just occurred (Hayner 1994:605). T</w:t>
      </w:r>
      <w:r w:rsidR="007424AC">
        <w:rPr>
          <w:rFonts w:ascii="Times New Roman" w:hAnsi="Times New Roman"/>
        </w:rPr>
        <w:t>he blatant focus on ‘truth’</w:t>
      </w:r>
      <w:r w:rsidRPr="006B176A">
        <w:rPr>
          <w:rFonts w:ascii="Times New Roman" w:hAnsi="Times New Roman"/>
        </w:rPr>
        <w:t xml:space="preserve"> in the TRC model helps to emphasize the morality of the new authority.     </w:t>
      </w:r>
    </w:p>
    <w:p w:rsidR="008A5D42" w:rsidRPr="006B176A" w:rsidRDefault="008A5D42" w:rsidP="008A5D42">
      <w:pPr>
        <w:spacing w:line="480" w:lineRule="auto"/>
        <w:ind w:firstLine="720"/>
        <w:rPr>
          <w:rFonts w:ascii="Times New Roman" w:hAnsi="Times New Roman"/>
        </w:rPr>
      </w:pPr>
      <w:r w:rsidRPr="006B176A">
        <w:rPr>
          <w:rFonts w:ascii="Times New Roman" w:hAnsi="Times New Roman"/>
        </w:rPr>
        <w:t>The significance of ‘truth’ for victims/survivors of conflict differs from the use of ‘truth’ within the national scale. For victims, ‘truth’ is a basic human right. Hayner (1994</w:t>
      </w:r>
      <w:r w:rsidR="007424AC">
        <w:rPr>
          <w:rFonts w:ascii="Times New Roman" w:hAnsi="Times New Roman"/>
        </w:rPr>
        <w:t>:607)</w:t>
      </w:r>
      <w:r w:rsidRPr="006B176A">
        <w:rPr>
          <w:rFonts w:ascii="Times New Roman" w:hAnsi="Times New Roman"/>
        </w:rPr>
        <w:t xml:space="preserve">) comments that “The right to know the </w:t>
      </w:r>
      <w:r w:rsidR="007424AC">
        <w:rPr>
          <w:rFonts w:ascii="Times New Roman" w:hAnsi="Times New Roman"/>
        </w:rPr>
        <w:t>‘</w:t>
      </w:r>
      <w:r w:rsidRPr="006B176A">
        <w:rPr>
          <w:rFonts w:ascii="Times New Roman" w:hAnsi="Times New Roman"/>
        </w:rPr>
        <w:t>truth</w:t>
      </w:r>
      <w:r w:rsidR="007424AC">
        <w:rPr>
          <w:rFonts w:ascii="Times New Roman" w:hAnsi="Times New Roman"/>
        </w:rPr>
        <w:t xml:space="preserve"> ‘</w:t>
      </w:r>
      <w:r w:rsidRPr="006B176A">
        <w:rPr>
          <w:rFonts w:ascii="Times New Roman" w:hAnsi="Times New Roman"/>
        </w:rPr>
        <w:t xml:space="preserve"> has been included within the meaning of Article 19 of the Universal Declaration of Human Rights in response to the wor</w:t>
      </w:r>
      <w:r w:rsidR="007424AC">
        <w:rPr>
          <w:rFonts w:ascii="Times New Roman" w:hAnsi="Times New Roman"/>
        </w:rPr>
        <w:t>k of TRCs around the world”</w:t>
      </w:r>
      <w:r w:rsidRPr="006B176A">
        <w:rPr>
          <w:rFonts w:ascii="Times New Roman" w:hAnsi="Times New Roman"/>
        </w:rPr>
        <w:t>. Similarly, while discussing the meaning of justice among the people of Ayacucho an EPAF facilitator identified “to know the truth”.</w:t>
      </w:r>
      <w:r w:rsidR="007424AC">
        <w:rPr>
          <w:rFonts w:ascii="Times New Roman" w:hAnsi="Times New Roman"/>
        </w:rPr>
        <w:t xml:space="preserve"> Many of these individuals do not</w:t>
      </w:r>
      <w:r w:rsidRPr="006B176A">
        <w:rPr>
          <w:rFonts w:ascii="Times New Roman" w:hAnsi="Times New Roman"/>
        </w:rPr>
        <w:t xml:space="preserve"> know what happened to their loved one</w:t>
      </w:r>
      <w:r w:rsidR="007424AC">
        <w:rPr>
          <w:rFonts w:ascii="Times New Roman" w:hAnsi="Times New Roman"/>
        </w:rPr>
        <w:t>s</w:t>
      </w:r>
      <w:r w:rsidRPr="006B176A">
        <w:rPr>
          <w:rFonts w:ascii="Times New Roman" w:hAnsi="Times New Roman"/>
        </w:rPr>
        <w:t>, and the acceptance of death is difficult in the unclear circumstances of forced disappearance. The ‘truth’ that the victims are seeking is twofold. First, they want tangible proof of what happened (i.e. a body). Secondly, they want to understand why it happened. “Ironically, truth reports are designed to relate what survivors most commonly refer to as the unspeakable. To speak is not necessarily to convey what happened and to read what happened is not necessarily to know the truth” (Daly 2008:26). Daly (2008</w:t>
      </w:r>
      <w:r w:rsidR="007424AC">
        <w:rPr>
          <w:rFonts w:ascii="Times New Roman" w:hAnsi="Times New Roman"/>
        </w:rPr>
        <w:t>:27</w:t>
      </w:r>
      <w:r w:rsidRPr="006B176A">
        <w:rPr>
          <w:rFonts w:ascii="Times New Roman" w:hAnsi="Times New Roman"/>
        </w:rPr>
        <w:t>) concludes that the problem with “finding the truth” in the process of a TRC is that there are too many truths, each</w:t>
      </w:r>
      <w:r w:rsidR="007424AC">
        <w:rPr>
          <w:rFonts w:ascii="Times New Roman" w:hAnsi="Times New Roman"/>
        </w:rPr>
        <w:t xml:space="preserve"> different from one another</w:t>
      </w:r>
      <w:r w:rsidRPr="006B176A">
        <w:rPr>
          <w:rFonts w:ascii="Times New Roman" w:hAnsi="Times New Roman"/>
        </w:rPr>
        <w:t xml:space="preserve">. The process of ethnography attempts to find similar information to </w:t>
      </w:r>
      <w:r w:rsidRPr="006B176A">
        <w:rPr>
          <w:rFonts w:ascii="Times New Roman" w:hAnsi="Times New Roman"/>
        </w:rPr>
        <w:lastRenderedPageBreak/>
        <w:t>that sought in the process of a TRC. Similar to the incomplete record Daly describes in a TRC, Clifford (1986</w:t>
      </w:r>
      <w:r w:rsidR="007424AC">
        <w:rPr>
          <w:rFonts w:ascii="Times New Roman" w:hAnsi="Times New Roman"/>
        </w:rPr>
        <w:t>:7</w:t>
      </w:r>
      <w:r w:rsidRPr="006B176A">
        <w:rPr>
          <w:rFonts w:ascii="Times New Roman" w:hAnsi="Times New Roman"/>
        </w:rPr>
        <w:t>) concludes that ethnographic truths are inherently partial and incomplete. He explains that there is a complexity to the process of revelation and secrecy that controls communication. This mechanism, combined with the limitation of the anthropologist, prevents underst</w:t>
      </w:r>
      <w:r w:rsidR="007424AC">
        <w:rPr>
          <w:rFonts w:ascii="Times New Roman" w:hAnsi="Times New Roman"/>
        </w:rPr>
        <w:t>anding of a specific truth</w:t>
      </w:r>
      <w:r w:rsidRPr="006B176A">
        <w:rPr>
          <w:rFonts w:ascii="Times New Roman" w:hAnsi="Times New Roman"/>
        </w:rPr>
        <w:t xml:space="preserve">. </w:t>
      </w:r>
    </w:p>
    <w:p w:rsidR="008A5D42" w:rsidRPr="006B176A" w:rsidRDefault="008A5D42" w:rsidP="008A5D42">
      <w:pPr>
        <w:spacing w:line="480" w:lineRule="auto"/>
        <w:ind w:firstLine="720"/>
        <w:rPr>
          <w:rFonts w:ascii="Times New Roman" w:hAnsi="Times New Roman"/>
          <w:b/>
        </w:rPr>
      </w:pPr>
      <w:r w:rsidRPr="006B176A">
        <w:rPr>
          <w:rFonts w:ascii="Times New Roman" w:hAnsi="Times New Roman"/>
        </w:rPr>
        <w:t>Verdoolaege (2009</w:t>
      </w:r>
      <w:r w:rsidR="00440B1A">
        <w:rPr>
          <w:rFonts w:ascii="Times New Roman" w:hAnsi="Times New Roman"/>
        </w:rPr>
        <w:t>:441</w:t>
      </w:r>
      <w:r w:rsidRPr="006B176A">
        <w:rPr>
          <w:rFonts w:ascii="Times New Roman" w:hAnsi="Times New Roman"/>
        </w:rPr>
        <w:t>) postulates that interaction between the testifier and the observers and media further shapes th</w:t>
      </w:r>
      <w:r w:rsidR="00440B1A">
        <w:rPr>
          <w:rFonts w:ascii="Times New Roman" w:hAnsi="Times New Roman"/>
        </w:rPr>
        <w:t>e “truth” that is collected</w:t>
      </w:r>
      <w:r w:rsidRPr="006B176A">
        <w:rPr>
          <w:rFonts w:ascii="Times New Roman" w:hAnsi="Times New Roman"/>
        </w:rPr>
        <w:t>. The events of a narrative are influenced in the process of telling it</w:t>
      </w:r>
      <w:r>
        <w:rPr>
          <w:rFonts w:ascii="Times New Roman" w:hAnsi="Times New Roman"/>
        </w:rPr>
        <w:t>, through the style, language choice</w:t>
      </w:r>
      <w:r w:rsidR="00440B1A">
        <w:rPr>
          <w:rFonts w:ascii="Times New Roman" w:hAnsi="Times New Roman"/>
        </w:rPr>
        <w:t>,</w:t>
      </w:r>
      <w:r>
        <w:rPr>
          <w:rFonts w:ascii="Times New Roman" w:hAnsi="Times New Roman"/>
        </w:rPr>
        <w:t xml:space="preserve"> changes in tone</w:t>
      </w:r>
      <w:r w:rsidR="00440B1A">
        <w:rPr>
          <w:rFonts w:ascii="Times New Roman" w:hAnsi="Times New Roman"/>
        </w:rPr>
        <w:t>,</w:t>
      </w:r>
      <w:r>
        <w:rPr>
          <w:rFonts w:ascii="Times New Roman" w:hAnsi="Times New Roman"/>
        </w:rPr>
        <w:t xml:space="preserve"> and other communicative tools</w:t>
      </w:r>
      <w:r w:rsidRPr="006B176A">
        <w:rPr>
          <w:rFonts w:ascii="Times New Roman" w:hAnsi="Times New Roman"/>
        </w:rPr>
        <w:t xml:space="preserve"> (Ochs and Capps 1996:20). Verdoolaege further argues that this was evident in the choices made by testifiers and commissioners in the South African TRC. She notes the use of graphic narratives as a way in which to appeal to the spectacle of the event. She also comments on several occasions in which testifiers chose to directly address the audience or media rather than the commissioner, further indicating the conscious awareness of the audience. Within the context of the Peruvian field school, several of the women chose to transition their narrative from a graphic description to a positive reference, following which they explained that they wanted to be sure that the field school participants left with a good impression. Again, the speaker was consciously altering her choice of words to meet the expectations of the audience. It is important to realize that the ‘truth’ referred to in testimony, both official and unofficial, is not objective or verifiable (Daly 2008:23).</w:t>
      </w:r>
      <w:r>
        <w:rPr>
          <w:rFonts w:ascii="Times New Roman" w:hAnsi="Times New Roman"/>
        </w:rPr>
        <w:t xml:space="preserve"> Through the process of communicating testimony the account is invariably affected</w:t>
      </w:r>
      <w:r w:rsidR="00440B1A">
        <w:rPr>
          <w:rFonts w:ascii="Times New Roman" w:hAnsi="Times New Roman"/>
        </w:rPr>
        <w:t>,</w:t>
      </w:r>
      <w:r>
        <w:rPr>
          <w:rFonts w:ascii="Times New Roman" w:hAnsi="Times New Roman"/>
        </w:rPr>
        <w:t xml:space="preserve"> and as a result it is necessary to recognize that testimony cannot be objective.</w:t>
      </w:r>
      <w:r w:rsidRPr="006B176A">
        <w:rPr>
          <w:rFonts w:ascii="Times New Roman" w:hAnsi="Times New Roman"/>
        </w:rPr>
        <w:t xml:space="preserve"> </w:t>
      </w:r>
      <w:r w:rsidRPr="006B176A">
        <w:rPr>
          <w:rFonts w:ascii="Times New Roman" w:hAnsi="Times New Roman"/>
          <w:b/>
        </w:rPr>
        <w:t xml:space="preserve">  </w:t>
      </w:r>
    </w:p>
    <w:p w:rsidR="008A5D42" w:rsidRPr="00440B1A" w:rsidRDefault="00440B1A" w:rsidP="00D33CEB">
      <w:pPr>
        <w:spacing w:line="480" w:lineRule="auto"/>
        <w:jc w:val="center"/>
        <w:rPr>
          <w:rFonts w:ascii="Times New Roman" w:hAnsi="Times New Roman"/>
        </w:rPr>
      </w:pPr>
      <w:r>
        <w:rPr>
          <w:rFonts w:ascii="Times New Roman" w:hAnsi="Times New Roman"/>
        </w:rPr>
        <w:t>Victim</w:t>
      </w:r>
    </w:p>
    <w:p w:rsidR="008A5D42" w:rsidRPr="006B176A" w:rsidRDefault="008A5D42" w:rsidP="008A5D42">
      <w:pPr>
        <w:spacing w:line="480" w:lineRule="auto"/>
        <w:ind w:firstLine="720"/>
        <w:rPr>
          <w:rFonts w:ascii="Times New Roman" w:hAnsi="Times New Roman"/>
        </w:rPr>
      </w:pPr>
      <w:r w:rsidRPr="006B176A">
        <w:rPr>
          <w:rFonts w:ascii="Times New Roman" w:hAnsi="Times New Roman"/>
        </w:rPr>
        <w:t xml:space="preserve">Within civil conflict there is often a blurred line between those who committed the crime and those who had crimes committed against them. As a result there is often a discrepancy </w:t>
      </w:r>
      <w:r w:rsidRPr="006B176A">
        <w:rPr>
          <w:rFonts w:ascii="Times New Roman" w:hAnsi="Times New Roman"/>
        </w:rPr>
        <w:lastRenderedPageBreak/>
        <w:t>between the use of ‘victim’ by the individuals involved in the truth and reconciliation process and its use by the government. “The Eye That Cries” is a monument in Lima dedicated to the 70</w:t>
      </w:r>
      <w:r w:rsidR="00B554B3">
        <w:rPr>
          <w:rFonts w:ascii="Times New Roman" w:hAnsi="Times New Roman"/>
        </w:rPr>
        <w:t>,</w:t>
      </w:r>
      <w:r w:rsidRPr="006B176A">
        <w:rPr>
          <w:rFonts w:ascii="Times New Roman" w:hAnsi="Times New Roman"/>
        </w:rPr>
        <w:t xml:space="preserve">000 people killed or disappeared during the Peruvian conflict. The monument is a labyrinth composed of stones, each one representing an individual who was killed. The organization which maintains the memorial describes the monument as a tribute to the “‘victims, police and military”. Linguistically, it is interesting to note that the term victim was not applied to the military and police. This may connect to a recent development in which the government removed support and funding for the maintenance of the monument. </w:t>
      </w:r>
    </w:p>
    <w:p w:rsidR="008A5D42" w:rsidRPr="006B176A" w:rsidRDefault="008A5D42" w:rsidP="008A5D42">
      <w:pPr>
        <w:spacing w:line="480" w:lineRule="auto"/>
        <w:rPr>
          <w:rFonts w:ascii="Times New Roman" w:hAnsi="Times New Roman"/>
        </w:rPr>
      </w:pPr>
      <w:r w:rsidRPr="006B176A">
        <w:rPr>
          <w:rFonts w:ascii="Times New Roman" w:hAnsi="Times New Roman"/>
        </w:rPr>
        <w:tab/>
        <w:t xml:space="preserve">Within the final report of the Peruvian TRC the blame for the conflict resided with the </w:t>
      </w:r>
      <w:r w:rsidRPr="006B176A">
        <w:rPr>
          <w:rFonts w:ascii="Times New Roman" w:hAnsi="Times New Roman"/>
          <w:i/>
        </w:rPr>
        <w:t xml:space="preserve">Sendero Luminoso </w:t>
      </w:r>
      <w:r w:rsidRPr="006B176A">
        <w:rPr>
          <w:rFonts w:ascii="Times New Roman" w:hAnsi="Times New Roman"/>
        </w:rPr>
        <w:t xml:space="preserve"> (SL), a communist rebel group based in Ayacucho. Members of EPAF, among others, attest that an accurate representation of the conflict would place blame equally between the government and SL. As a result of the Commission’s findings, any individuals with a connection to SL were not considered eligible for reparations. To be a “victim” in the government’s eyes required the completion of a bureaucratic process involving documentation and approval. The deceased individual had to be registered as a victim, and if this status was approved, the surviving relative would be issued a certificate of victim status, acknowledging the murder of the deceased as well as the pain of the survivor. For many of the women in Ayacucho, the acknowledgement of victim status was psychologically dependent upon receiving reparations. This was further impacted by a change in the reparations laws, which allowed the government to refuse to provide monetary reparations for anyone under the age of 65, and depending on the circumstances, possibly even older. In this way, these women have symbolically lost their status as victims. </w:t>
      </w:r>
    </w:p>
    <w:p w:rsidR="008A5D42" w:rsidRPr="00764B03" w:rsidRDefault="008A5D42" w:rsidP="008A5D42">
      <w:pPr>
        <w:spacing w:line="480" w:lineRule="auto"/>
        <w:rPr>
          <w:rFonts w:ascii="Times New Roman" w:hAnsi="Times New Roman"/>
        </w:rPr>
      </w:pPr>
      <w:r w:rsidRPr="006B176A">
        <w:rPr>
          <w:rFonts w:ascii="Times New Roman" w:hAnsi="Times New Roman"/>
        </w:rPr>
        <w:tab/>
        <w:t xml:space="preserve">It is interesting to consider the interaction between the survivors and their association with being victims. There is a need to be identified as a “victim” so as to obtain reparations. </w:t>
      </w:r>
      <w:r w:rsidRPr="006B176A">
        <w:rPr>
          <w:rFonts w:ascii="Times New Roman" w:hAnsi="Times New Roman"/>
        </w:rPr>
        <w:lastRenderedPageBreak/>
        <w:t>Attaining ‘victim status’ is a form of symbolic capital. Symbolic capital refers to the body of resources that an individual can draw upon and is in reference to objects and representations that are of value to a social group (</w:t>
      </w:r>
      <w:r w:rsidRPr="006B176A">
        <w:rPr>
          <w:rFonts w:ascii="Times New Roman" w:hAnsi="Times New Roman" w:cs="Arial"/>
          <w:szCs w:val="26"/>
        </w:rPr>
        <w:t>Erickson &amp; Murphy 2008:188)</w:t>
      </w:r>
      <w:r w:rsidRPr="006B176A">
        <w:rPr>
          <w:rFonts w:ascii="Times New Roman" w:hAnsi="Times New Roman"/>
        </w:rPr>
        <w:t xml:space="preserve">. For the survivors, having the ability to obtain reparations is extremely valuable from both an economic standpoint and a symbolic psychological standpoint. </w:t>
      </w:r>
      <w:r w:rsidR="0043145F" w:rsidRPr="006B176A">
        <w:rPr>
          <w:rFonts w:ascii="Times New Roman" w:hAnsi="Times New Roman"/>
        </w:rPr>
        <w:t xml:space="preserve">Despite this value placed on ‘victim status’, </w:t>
      </w:r>
      <w:r w:rsidR="0043145F">
        <w:rPr>
          <w:rFonts w:ascii="Times New Roman" w:hAnsi="Times New Roman"/>
        </w:rPr>
        <w:t>Laplante &amp; Theidon (2007:229) observe</w:t>
      </w:r>
      <w:r w:rsidR="0043145F" w:rsidRPr="006B176A">
        <w:rPr>
          <w:rFonts w:ascii="Times New Roman" w:hAnsi="Times New Roman"/>
        </w:rPr>
        <w:t xml:space="preserve"> that many people did not want to actually identify as ‘victims’. </w:t>
      </w:r>
      <w:r w:rsidRPr="006B176A">
        <w:rPr>
          <w:rFonts w:ascii="Times New Roman" w:hAnsi="Times New Roman"/>
        </w:rPr>
        <w:t xml:space="preserve">The word victim was associated with helplessness and negative connotation. Among many communities the term </w:t>
      </w:r>
      <w:r w:rsidRPr="006B176A">
        <w:rPr>
          <w:rFonts w:ascii="Times New Roman" w:hAnsi="Times New Roman"/>
          <w:i/>
        </w:rPr>
        <w:t>afectados</w:t>
      </w:r>
      <w:r w:rsidRPr="006B176A">
        <w:rPr>
          <w:rFonts w:ascii="Times New Roman" w:hAnsi="Times New Roman"/>
        </w:rPr>
        <w:t xml:space="preserve"> (affected)</w:t>
      </w:r>
      <w:r w:rsidR="00B554B3">
        <w:rPr>
          <w:rFonts w:ascii="Times New Roman" w:hAnsi="Times New Roman"/>
        </w:rPr>
        <w:t xml:space="preserve"> was used as a replacement</w:t>
      </w:r>
      <w:r w:rsidRPr="006B176A">
        <w:rPr>
          <w:rFonts w:ascii="Times New Roman" w:hAnsi="Times New Roman"/>
        </w:rPr>
        <w:t xml:space="preserve">. </w:t>
      </w:r>
      <w:r>
        <w:rPr>
          <w:rFonts w:ascii="Times New Roman" w:hAnsi="Times New Roman"/>
        </w:rPr>
        <w:t xml:space="preserve">Laplante and </w:t>
      </w:r>
      <w:r w:rsidRPr="006B176A">
        <w:rPr>
          <w:rFonts w:ascii="Times New Roman" w:hAnsi="Times New Roman"/>
        </w:rPr>
        <w:t>Theidon s</w:t>
      </w:r>
      <w:r>
        <w:rPr>
          <w:rFonts w:ascii="Times New Roman" w:hAnsi="Times New Roman"/>
        </w:rPr>
        <w:t>uggest</w:t>
      </w:r>
      <w:r w:rsidRPr="006B176A">
        <w:rPr>
          <w:rFonts w:ascii="Times New Roman" w:hAnsi="Times New Roman"/>
        </w:rPr>
        <w:t xml:space="preserve"> the use of “victim-survivor”</w:t>
      </w:r>
      <w:r w:rsidR="00B554B3">
        <w:rPr>
          <w:rFonts w:ascii="Times New Roman" w:hAnsi="Times New Roman"/>
        </w:rPr>
        <w:t>,</w:t>
      </w:r>
      <w:r w:rsidRPr="006B176A">
        <w:rPr>
          <w:rFonts w:ascii="Times New Roman" w:hAnsi="Times New Roman"/>
        </w:rPr>
        <w:t xml:space="preserve"> which highlights the transitional process associated with individual post-conflict recovery. Pellicer-Ortin (2011</w:t>
      </w:r>
      <w:r w:rsidR="00B554B3">
        <w:rPr>
          <w:rFonts w:ascii="Times New Roman" w:hAnsi="Times New Roman"/>
        </w:rPr>
        <w:t>:79) confirms this idea</w:t>
      </w:r>
      <w:r w:rsidRPr="006B176A">
        <w:rPr>
          <w:rFonts w:ascii="Times New Roman" w:hAnsi="Times New Roman"/>
        </w:rPr>
        <w:t xml:space="preserve">. The director of EPAF described the role of their organization as trying to “re-citizenize, turning them [those affected by the conflict] from victims to citizens.”  In the case of the Peruvian TRC, the </w:t>
      </w:r>
      <w:r w:rsidR="007027E9">
        <w:rPr>
          <w:rFonts w:ascii="Times New Roman" w:hAnsi="Times New Roman"/>
          <w:i/>
        </w:rPr>
        <w:t xml:space="preserve">afectados </w:t>
      </w:r>
      <w:r w:rsidRPr="006B176A">
        <w:rPr>
          <w:rFonts w:ascii="Times New Roman" w:hAnsi="Times New Roman"/>
        </w:rPr>
        <w:t>both want to be identified as victims</w:t>
      </w:r>
      <w:r>
        <w:rPr>
          <w:rFonts w:ascii="Times New Roman" w:hAnsi="Times New Roman"/>
        </w:rPr>
        <w:t>,</w:t>
      </w:r>
      <w:r w:rsidRPr="006B176A">
        <w:rPr>
          <w:rFonts w:ascii="Times New Roman" w:hAnsi="Times New Roman"/>
        </w:rPr>
        <w:t xml:space="preserve"> yet at the same time do not want to be identified as victims. The opposing meanings for the term ‘victim’ can be considered an example of indexicality, which refers to a difference in the meaning of a word depending on the context with which it is spoken (Gee 1999:25).</w:t>
      </w:r>
      <w:r>
        <w:rPr>
          <w:rFonts w:ascii="Times New Roman" w:hAnsi="Times New Roman"/>
        </w:rPr>
        <w:t xml:space="preserve"> In this way, to be a “victim” can be both a positive and a negative concept for the survivors.</w:t>
      </w:r>
      <w:r w:rsidRPr="006B176A">
        <w:rPr>
          <w:rFonts w:ascii="Times New Roman" w:hAnsi="Times New Roman"/>
        </w:rPr>
        <w:t xml:space="preserve"> This is a key example of the interplay between indexicality and symbolic capital</w:t>
      </w:r>
      <w:r>
        <w:rPr>
          <w:rFonts w:ascii="Times New Roman" w:hAnsi="Times New Roman"/>
        </w:rPr>
        <w:t>. The indexicality seen with the word “victim” is a product of the symbolic capital it provides for the speaker</w:t>
      </w:r>
      <w:r w:rsidRPr="006B176A">
        <w:rPr>
          <w:rFonts w:ascii="Times New Roman" w:hAnsi="Times New Roman"/>
        </w:rPr>
        <w:t>.</w:t>
      </w:r>
      <w:r w:rsidRPr="006B176A">
        <w:rPr>
          <w:rFonts w:ascii="Times New Roman" w:hAnsi="Times New Roman"/>
          <w:b/>
        </w:rPr>
        <w:t xml:space="preserve"> </w:t>
      </w:r>
      <w:r w:rsidRPr="008B7294">
        <w:rPr>
          <w:rFonts w:ascii="Times New Roman" w:hAnsi="Times New Roman"/>
        </w:rPr>
        <w:t>In this way symbolic capital, such as the reparations received by “victims”</w:t>
      </w:r>
      <w:r w:rsidR="00784361">
        <w:rPr>
          <w:rFonts w:ascii="Times New Roman" w:hAnsi="Times New Roman"/>
        </w:rPr>
        <w:t>,</w:t>
      </w:r>
      <w:r w:rsidRPr="008B7294">
        <w:rPr>
          <w:rFonts w:ascii="Times New Roman" w:hAnsi="Times New Roman"/>
        </w:rPr>
        <w:t xml:space="preserve"> can serve as a mechanism for the production of indexicality. </w:t>
      </w:r>
    </w:p>
    <w:p w:rsidR="008A5D42" w:rsidRPr="006B176A" w:rsidRDefault="008A5D42" w:rsidP="008A5D42">
      <w:pPr>
        <w:rPr>
          <w:rFonts w:ascii="Times New Roman" w:hAnsi="Times New Roman"/>
          <w:b/>
        </w:rPr>
      </w:pPr>
    </w:p>
    <w:p w:rsidR="008A5D42" w:rsidRPr="006B176A" w:rsidRDefault="00784361" w:rsidP="008A5D42">
      <w:pPr>
        <w:jc w:val="center"/>
        <w:rPr>
          <w:rFonts w:ascii="Times New Roman" w:hAnsi="Times New Roman"/>
          <w:b/>
        </w:rPr>
      </w:pPr>
      <w:r>
        <w:rPr>
          <w:rFonts w:ascii="Times New Roman" w:hAnsi="Times New Roman"/>
        </w:rPr>
        <w:t>Healing</w:t>
      </w:r>
      <w:r w:rsidR="008A5D42" w:rsidRPr="006B176A">
        <w:rPr>
          <w:rFonts w:ascii="Times New Roman" w:hAnsi="Times New Roman"/>
          <w:b/>
        </w:rPr>
        <w:br/>
      </w:r>
    </w:p>
    <w:p w:rsidR="008A5D42" w:rsidRPr="006B176A" w:rsidRDefault="008A5D42" w:rsidP="008A5D42">
      <w:pPr>
        <w:spacing w:line="480" w:lineRule="auto"/>
        <w:ind w:firstLine="720"/>
        <w:rPr>
          <w:rFonts w:ascii="Times New Roman" w:hAnsi="Times New Roman"/>
        </w:rPr>
      </w:pPr>
      <w:r w:rsidRPr="006B176A">
        <w:rPr>
          <w:rFonts w:ascii="Times New Roman" w:hAnsi="Times New Roman"/>
        </w:rPr>
        <w:t xml:space="preserve">Healing is another key word that is incorporated into discourse about testimony and also within testimony itself. There are two functions for this word. It refers to the proposed </w:t>
      </w:r>
      <w:r w:rsidRPr="006B176A">
        <w:rPr>
          <w:rFonts w:ascii="Times New Roman" w:hAnsi="Times New Roman"/>
        </w:rPr>
        <w:lastRenderedPageBreak/>
        <w:t>psychological healing which comes through giving testimony</w:t>
      </w:r>
      <w:r w:rsidR="00784361">
        <w:rPr>
          <w:rFonts w:ascii="Times New Roman" w:hAnsi="Times New Roman"/>
        </w:rPr>
        <w:t>,</w:t>
      </w:r>
      <w:r w:rsidRPr="006B176A">
        <w:rPr>
          <w:rFonts w:ascii="Times New Roman" w:hAnsi="Times New Roman"/>
        </w:rPr>
        <w:t xml:space="preserve"> and it also acts as a metaphor (Young 2004:157). The concept of healing within testimony is a highly contentious subject</w:t>
      </w:r>
      <w:r w:rsidR="00784361">
        <w:rPr>
          <w:rFonts w:ascii="Times New Roman" w:hAnsi="Times New Roman"/>
        </w:rPr>
        <w:t>,</w:t>
      </w:r>
      <w:r w:rsidRPr="006B176A">
        <w:rPr>
          <w:rFonts w:ascii="Times New Roman" w:hAnsi="Times New Roman"/>
        </w:rPr>
        <w:t xml:space="preserve"> and some authors such as Meneloff (2004</w:t>
      </w:r>
      <w:r w:rsidR="00784361">
        <w:rPr>
          <w:rFonts w:ascii="Times New Roman" w:hAnsi="Times New Roman"/>
        </w:rPr>
        <w:t>:355</w:t>
      </w:r>
      <w:r w:rsidRPr="006B176A">
        <w:rPr>
          <w:rFonts w:ascii="Times New Roman" w:hAnsi="Times New Roman"/>
        </w:rPr>
        <w:t xml:space="preserve">) suggest that the act of testimony does not </w:t>
      </w:r>
      <w:r w:rsidR="00784361">
        <w:rPr>
          <w:rFonts w:ascii="Times New Roman" w:hAnsi="Times New Roman"/>
        </w:rPr>
        <w:t>provide individual healing</w:t>
      </w:r>
      <w:r w:rsidRPr="006B176A">
        <w:rPr>
          <w:rFonts w:ascii="Times New Roman" w:hAnsi="Times New Roman"/>
        </w:rPr>
        <w:t xml:space="preserve">. </w:t>
      </w:r>
    </w:p>
    <w:p w:rsidR="008A5D42" w:rsidRPr="006B176A" w:rsidRDefault="008A5D42" w:rsidP="008A5D42">
      <w:pPr>
        <w:spacing w:line="480" w:lineRule="auto"/>
        <w:rPr>
          <w:rFonts w:ascii="Times New Roman" w:hAnsi="Times New Roman"/>
        </w:rPr>
      </w:pPr>
      <w:r w:rsidRPr="006B176A">
        <w:rPr>
          <w:rFonts w:ascii="Times New Roman" w:hAnsi="Times New Roman"/>
        </w:rPr>
        <w:tab/>
        <w:t xml:space="preserve">Michael Lapsley (a priest and facilitator of the </w:t>
      </w:r>
      <w:r w:rsidRPr="006B176A">
        <w:rPr>
          <w:rFonts w:ascii="Times New Roman" w:hAnsi="Times New Roman"/>
          <w:i/>
        </w:rPr>
        <w:t>Healing the Memory Workshops</w:t>
      </w:r>
      <w:r w:rsidRPr="006B176A">
        <w:rPr>
          <w:rFonts w:ascii="Times New Roman" w:hAnsi="Times New Roman"/>
        </w:rPr>
        <w:t xml:space="preserve"> in South Africa) argues that “memory can be healed by individuals… individuals need to talk about their distinctive pasts, put their memories on the table, open them up and clean them out and in so doing facilitate healing.” (</w:t>
      </w:r>
      <w:r w:rsidR="00784361">
        <w:rPr>
          <w:rFonts w:ascii="Times New Roman" w:hAnsi="Times New Roman"/>
        </w:rPr>
        <w:t xml:space="preserve">in </w:t>
      </w:r>
      <w:r w:rsidRPr="006B176A">
        <w:rPr>
          <w:rFonts w:ascii="Times New Roman" w:hAnsi="Times New Roman"/>
        </w:rPr>
        <w:t>Hamber and Wilson 2002:37). Similarly, banners displayed by the South African TRC used the phrase “Revealing is Healing”. A significant body of psychological research has found that the process of testifying is cathartic (</w:t>
      </w:r>
      <w:r>
        <w:rPr>
          <w:rFonts w:ascii="Times New Roman" w:hAnsi="Times New Roman"/>
        </w:rPr>
        <w:t xml:space="preserve">Laplante &amp; </w:t>
      </w:r>
      <w:r w:rsidRPr="006B176A">
        <w:rPr>
          <w:rFonts w:ascii="Times New Roman" w:hAnsi="Times New Roman"/>
        </w:rPr>
        <w:t>Theidon 2007:228). However, there is also a significant body of work that recognizes the limitation of testimony as a healing process. Meneloff (2004</w:t>
      </w:r>
      <w:r w:rsidR="00784361">
        <w:rPr>
          <w:rFonts w:ascii="Times New Roman" w:hAnsi="Times New Roman"/>
        </w:rPr>
        <w:t>:357</w:t>
      </w:r>
      <w:r w:rsidRPr="006B176A">
        <w:rPr>
          <w:rFonts w:ascii="Times New Roman" w:hAnsi="Times New Roman"/>
        </w:rPr>
        <w:t>) describes the fact that the healing value of testimony is dependent upon what is said and how it is expre</w:t>
      </w:r>
      <w:r w:rsidR="00784361">
        <w:rPr>
          <w:rFonts w:ascii="Times New Roman" w:hAnsi="Times New Roman"/>
        </w:rPr>
        <w:t>ssed</w:t>
      </w:r>
      <w:r w:rsidRPr="006B176A">
        <w:rPr>
          <w:rFonts w:ascii="Times New Roman" w:hAnsi="Times New Roman"/>
        </w:rPr>
        <w:t xml:space="preserve">. </w:t>
      </w:r>
      <w:r>
        <w:rPr>
          <w:rFonts w:ascii="Times New Roman" w:hAnsi="Times New Roman"/>
        </w:rPr>
        <w:t>Laplante and Theidon (2007) contend</w:t>
      </w:r>
      <w:r w:rsidRPr="006B176A">
        <w:rPr>
          <w:rFonts w:ascii="Times New Roman" w:hAnsi="Times New Roman"/>
        </w:rPr>
        <w:t xml:space="preserve"> that testimony is only valuable as a “healing process’ if accompanied by material action. </w:t>
      </w:r>
      <w:r>
        <w:rPr>
          <w:rFonts w:ascii="Times New Roman" w:hAnsi="Times New Roman"/>
        </w:rPr>
        <w:t xml:space="preserve">The findings of Laplante and Theidon were </w:t>
      </w:r>
      <w:r w:rsidRPr="006B176A">
        <w:rPr>
          <w:rFonts w:ascii="Times New Roman" w:hAnsi="Times New Roman"/>
        </w:rPr>
        <w:t>observed in the testimonies collected by EPAF: “Every time we have visitors you make us remember that day. Every time this happens it brings my hopes up, hope of reparation. But it doesn’t happen.” Within Peru, many communities have formed new identities by sharing and healing together. In the community of Sascamarca there is a group of widows who meet regularly to talk and consider new ways to find their disappeared husbands. “It is good and healthy to be able to share with these women (the widows)”. One of the women of the community was not yet married when her fiancé disappeared</w:t>
      </w:r>
      <w:r w:rsidR="007B7A34">
        <w:rPr>
          <w:rFonts w:ascii="Times New Roman" w:hAnsi="Times New Roman"/>
        </w:rPr>
        <w:t>;</w:t>
      </w:r>
      <w:r w:rsidRPr="006B176A">
        <w:rPr>
          <w:rFonts w:ascii="Times New Roman" w:hAnsi="Times New Roman"/>
        </w:rPr>
        <w:t xml:space="preserve"> she still identifies as a widow to maintain membership within the group. Similarly in Hualla, a group of rape victims joined together to create a combined declaration about their experience. Through these new group </w:t>
      </w:r>
      <w:r w:rsidRPr="006B176A">
        <w:rPr>
          <w:rFonts w:ascii="Times New Roman" w:hAnsi="Times New Roman"/>
        </w:rPr>
        <w:lastRenderedPageBreak/>
        <w:t xml:space="preserve">identities many of these women have taken on new roles as activists, where they would otherwise not have attempted communication with official government bodies.  </w:t>
      </w:r>
    </w:p>
    <w:p w:rsidR="008A5D42" w:rsidRPr="006B176A" w:rsidRDefault="008A5D42" w:rsidP="008A5D42">
      <w:pPr>
        <w:spacing w:line="480" w:lineRule="auto"/>
        <w:rPr>
          <w:rFonts w:ascii="Times New Roman" w:hAnsi="Times New Roman"/>
        </w:rPr>
      </w:pPr>
      <w:r w:rsidRPr="006B176A">
        <w:rPr>
          <w:rFonts w:ascii="Times New Roman" w:hAnsi="Times New Roman"/>
        </w:rPr>
        <w:tab/>
        <w:t>Healing is also used as a metaphor in the language of testimony and within the reports produced by TRCs On a national scale this connects to Duranti’s claim that political speakers are skillful manipulators using linguistic resources (2006:245). In these cases, the commission and government are utilizing the idea of healing to portray themselves as doctors who can cure the problems of the nation. Wilson (2001</w:t>
      </w:r>
      <w:r w:rsidR="00784361">
        <w:rPr>
          <w:rFonts w:ascii="Times New Roman" w:hAnsi="Times New Roman"/>
        </w:rPr>
        <w:t>:35</w:t>
      </w:r>
      <w:r w:rsidRPr="006B176A">
        <w:rPr>
          <w:rFonts w:ascii="Times New Roman" w:hAnsi="Times New Roman"/>
        </w:rPr>
        <w:t>) highlights the use of language such as “collective cleansing of a national sick body” and “heal the nation” w</w:t>
      </w:r>
      <w:r w:rsidR="00784361">
        <w:rPr>
          <w:rFonts w:ascii="Times New Roman" w:hAnsi="Times New Roman"/>
        </w:rPr>
        <w:t>ithin the south African TRC</w:t>
      </w:r>
      <w:r w:rsidRPr="006B176A">
        <w:rPr>
          <w:rFonts w:ascii="Times New Roman" w:hAnsi="Times New Roman"/>
        </w:rPr>
        <w:t>. Young (2004</w:t>
      </w:r>
      <w:r w:rsidR="00784361">
        <w:rPr>
          <w:rFonts w:ascii="Times New Roman" w:hAnsi="Times New Roman"/>
        </w:rPr>
        <w:t>:149</w:t>
      </w:r>
      <w:r w:rsidRPr="006B176A">
        <w:rPr>
          <w:rFonts w:ascii="Times New Roman" w:hAnsi="Times New Roman"/>
        </w:rPr>
        <w:t>) is critical of the use of metaphor in this context and writes that when the reconciliation of a post conflict country is presented and understood within the terms of “healing” the society may simply celebrate the “healing that has occurred rather than feel implicated in the atrocitie</w:t>
      </w:r>
      <w:r w:rsidR="00784361">
        <w:rPr>
          <w:rFonts w:ascii="Times New Roman" w:hAnsi="Times New Roman"/>
        </w:rPr>
        <w:t>s or any engagement in the pain”.</w:t>
      </w:r>
      <w:r w:rsidRPr="006B176A">
        <w:rPr>
          <w:rFonts w:ascii="Times New Roman" w:hAnsi="Times New Roman"/>
        </w:rPr>
        <w:t xml:space="preserve"> </w:t>
      </w:r>
      <w:r w:rsidRPr="006B176A">
        <w:rPr>
          <w:rStyle w:val="CommentReference"/>
          <w:rFonts w:ascii="Times New Roman" w:hAnsi="Times New Roman"/>
          <w:vanish/>
          <w:sz w:val="24"/>
        </w:rPr>
        <w:t>“</w:t>
      </w:r>
      <w:r w:rsidRPr="006B176A">
        <w:rPr>
          <w:rFonts w:ascii="Times New Roman" w:hAnsi="Times New Roman"/>
        </w:rPr>
        <w:t>Wilson and Hamber (2002</w:t>
      </w:r>
      <w:r w:rsidR="00784361">
        <w:rPr>
          <w:rFonts w:ascii="Times New Roman" w:hAnsi="Times New Roman"/>
        </w:rPr>
        <w:t>:36</w:t>
      </w:r>
      <w:r w:rsidRPr="006B176A">
        <w:rPr>
          <w:rFonts w:ascii="Times New Roman" w:hAnsi="Times New Roman"/>
        </w:rPr>
        <w:t>) similarly argue that claims to heal the collective unconscious of the nation address denial and public silence toward the conflict but replace them wi</w:t>
      </w:r>
      <w:r w:rsidR="00784361">
        <w:rPr>
          <w:rFonts w:ascii="Times New Roman" w:hAnsi="Times New Roman"/>
        </w:rPr>
        <w:t>th a “regime of forgetting”</w:t>
      </w:r>
      <w:r w:rsidRPr="006B176A">
        <w:rPr>
          <w:rFonts w:ascii="Times New Roman" w:hAnsi="Times New Roman"/>
        </w:rPr>
        <w:t xml:space="preserve">. Lakoff </w:t>
      </w:r>
      <w:r>
        <w:rPr>
          <w:rFonts w:ascii="Times New Roman" w:hAnsi="Times New Roman"/>
        </w:rPr>
        <w:t xml:space="preserve">and Turner </w:t>
      </w:r>
      <w:r w:rsidRPr="006B176A">
        <w:rPr>
          <w:rFonts w:ascii="Times New Roman" w:hAnsi="Times New Roman"/>
        </w:rPr>
        <w:t>(1989) describe metaphor as a trigger for a specific cognitive framework. As such</w:t>
      </w:r>
      <w:r w:rsidR="00784361">
        <w:rPr>
          <w:rFonts w:ascii="Times New Roman" w:hAnsi="Times New Roman"/>
        </w:rPr>
        <w:t>,</w:t>
      </w:r>
      <w:r w:rsidRPr="006B176A">
        <w:rPr>
          <w:rFonts w:ascii="Times New Roman" w:hAnsi="Times New Roman"/>
        </w:rPr>
        <w:t xml:space="preserve"> the words we use to describe things can reframe and restructure our understanding of them. In this way Truth Commissions and governments use metaphor to improve their public perception.  </w:t>
      </w:r>
    </w:p>
    <w:p w:rsidR="008A5D42" w:rsidRPr="006B176A" w:rsidRDefault="008A5D42" w:rsidP="008A5D42">
      <w:pPr>
        <w:spacing w:line="480" w:lineRule="auto"/>
        <w:rPr>
          <w:rFonts w:ascii="Times New Roman" w:hAnsi="Times New Roman"/>
        </w:rPr>
      </w:pPr>
      <w:r w:rsidRPr="006B176A">
        <w:rPr>
          <w:rFonts w:ascii="Times New Roman" w:hAnsi="Times New Roman"/>
        </w:rPr>
        <w:tab/>
        <w:t xml:space="preserve">Healing and sickness metaphors are also used within individual testimonies themselves. “I feel that what has been making me sick at the time is the fact that I couldn’t tell my story. But now it feels like I got my sight back by coming here and telling you the story” (Young 2004:154). In many cases these metaphors speak to the lack of healing; -“ma’am. I am not here to get any compensation; I am just-…I just feel very sore inside. My heart is broken. There is nothing else I am going to say now.” (FR5.9.17:355). A similar dialogue was used by many of the women in Peru; one woman described how she was going blind from her tears. In these cases </w:t>
      </w:r>
      <w:r w:rsidRPr="006B176A">
        <w:rPr>
          <w:rFonts w:ascii="Times New Roman" w:hAnsi="Times New Roman"/>
        </w:rPr>
        <w:lastRenderedPageBreak/>
        <w:t xml:space="preserve">the use of a healing metaphor was a method of expressing an incomprehensible psychological state with a tangible expression. This usage is quite different from the political use of the healing metaphor.  </w:t>
      </w:r>
    </w:p>
    <w:p w:rsidR="008A5D42" w:rsidRPr="006B176A" w:rsidRDefault="008A5D42" w:rsidP="008A5D42">
      <w:pPr>
        <w:spacing w:line="480" w:lineRule="auto"/>
        <w:rPr>
          <w:rFonts w:ascii="Times New Roman" w:hAnsi="Times New Roman"/>
        </w:rPr>
      </w:pPr>
    </w:p>
    <w:p w:rsidR="008A5D42" w:rsidRPr="00035A94" w:rsidRDefault="00035A94" w:rsidP="008A5D42">
      <w:pPr>
        <w:spacing w:line="480" w:lineRule="auto"/>
        <w:jc w:val="center"/>
        <w:rPr>
          <w:rFonts w:ascii="Times New Roman" w:hAnsi="Times New Roman"/>
        </w:rPr>
      </w:pPr>
      <w:r>
        <w:rPr>
          <w:rFonts w:ascii="Times New Roman" w:hAnsi="Times New Roman"/>
        </w:rPr>
        <w:t>Conclusion</w:t>
      </w:r>
    </w:p>
    <w:p w:rsidR="008A5D42" w:rsidRDefault="008A5D42" w:rsidP="008A5D42">
      <w:pPr>
        <w:spacing w:line="480" w:lineRule="auto"/>
        <w:ind w:firstLine="720"/>
        <w:rPr>
          <w:rFonts w:ascii="Times New Roman" w:hAnsi="Times New Roman"/>
        </w:rPr>
      </w:pPr>
      <w:r w:rsidRPr="006B176A">
        <w:rPr>
          <w:rFonts w:ascii="Times New Roman" w:hAnsi="Times New Roman"/>
        </w:rPr>
        <w:t xml:space="preserve">Testimony and </w:t>
      </w:r>
      <w:r w:rsidRPr="006B176A">
        <w:rPr>
          <w:rFonts w:ascii="Times New Roman" w:hAnsi="Times New Roman"/>
          <w:i/>
        </w:rPr>
        <w:t xml:space="preserve">testimonio </w:t>
      </w:r>
      <w:r w:rsidRPr="006B176A">
        <w:rPr>
          <w:rFonts w:ascii="Times New Roman" w:hAnsi="Times New Roman"/>
        </w:rPr>
        <w:t xml:space="preserve">are powerful narratives that interact with, and are the product of, violent conflict. </w:t>
      </w:r>
      <w:r>
        <w:rPr>
          <w:rFonts w:ascii="Times New Roman" w:hAnsi="Times New Roman"/>
        </w:rPr>
        <w:t>My experience in Peru with these survivors and anthropologists provided little opportunity to gain an understand</w:t>
      </w:r>
      <w:r w:rsidR="00035A94">
        <w:rPr>
          <w:rFonts w:ascii="Times New Roman" w:hAnsi="Times New Roman"/>
        </w:rPr>
        <w:t>ing of the pain of these people;</w:t>
      </w:r>
      <w:r>
        <w:rPr>
          <w:rFonts w:ascii="Times New Roman" w:hAnsi="Times New Roman"/>
        </w:rPr>
        <w:t xml:space="preserve"> however, the function of sharing testimony was illuminated through these interactions. </w:t>
      </w:r>
      <w:r w:rsidRPr="006B176A">
        <w:rPr>
          <w:rFonts w:ascii="Times New Roman" w:hAnsi="Times New Roman"/>
        </w:rPr>
        <w:t>The communicative forms</w:t>
      </w:r>
      <w:r>
        <w:rPr>
          <w:rFonts w:ascii="Times New Roman" w:hAnsi="Times New Roman"/>
        </w:rPr>
        <w:t xml:space="preserve"> associated with giving testimony</w:t>
      </w:r>
      <w:r w:rsidRPr="006B176A">
        <w:rPr>
          <w:rFonts w:ascii="Times New Roman" w:hAnsi="Times New Roman"/>
        </w:rPr>
        <w:t xml:space="preserve"> have tangible reactions as wel</w:t>
      </w:r>
      <w:r w:rsidR="00035A94">
        <w:rPr>
          <w:rFonts w:ascii="Times New Roman" w:hAnsi="Times New Roman"/>
        </w:rPr>
        <w:t>l as salient identity-</w:t>
      </w:r>
      <w:r w:rsidRPr="006B176A">
        <w:rPr>
          <w:rFonts w:ascii="Times New Roman" w:hAnsi="Times New Roman"/>
        </w:rPr>
        <w:t>building function</w:t>
      </w:r>
      <w:r w:rsidR="00035A94">
        <w:rPr>
          <w:rFonts w:ascii="Times New Roman" w:hAnsi="Times New Roman"/>
        </w:rPr>
        <w:t>s. Within the context of a post-</w:t>
      </w:r>
      <w:r w:rsidRPr="006B176A">
        <w:rPr>
          <w:rFonts w:ascii="Times New Roman" w:hAnsi="Times New Roman"/>
        </w:rPr>
        <w:t xml:space="preserve">conflict nation, these testimonies are further employed for political use, which may not always reflect the situation and reality for the original speaker. </w:t>
      </w:r>
      <w:r>
        <w:rPr>
          <w:rFonts w:ascii="Times New Roman" w:hAnsi="Times New Roman"/>
        </w:rPr>
        <w:t>The difference in political and individual use is highlighted through the use of the word</w:t>
      </w:r>
      <w:r w:rsidR="00035A94">
        <w:rPr>
          <w:rFonts w:ascii="Times New Roman" w:hAnsi="Times New Roman"/>
        </w:rPr>
        <w:t>s</w:t>
      </w:r>
      <w:r>
        <w:rPr>
          <w:rFonts w:ascii="Times New Roman" w:hAnsi="Times New Roman"/>
        </w:rPr>
        <w:t xml:space="preserve"> truth, victim</w:t>
      </w:r>
      <w:r w:rsidR="00035A94">
        <w:rPr>
          <w:rFonts w:ascii="Times New Roman" w:hAnsi="Times New Roman"/>
        </w:rPr>
        <w:t>,</w:t>
      </w:r>
      <w:r>
        <w:rPr>
          <w:rFonts w:ascii="Times New Roman" w:hAnsi="Times New Roman"/>
        </w:rPr>
        <w:t xml:space="preserve"> and healing. </w:t>
      </w:r>
      <w:r w:rsidRPr="006B176A">
        <w:rPr>
          <w:rFonts w:ascii="Times New Roman" w:hAnsi="Times New Roman"/>
        </w:rPr>
        <w:t xml:space="preserve">The search for truth and healing for the victims of conflict is important, but complex. </w:t>
      </w:r>
      <w:r>
        <w:rPr>
          <w:rFonts w:ascii="Times New Roman" w:hAnsi="Times New Roman"/>
        </w:rPr>
        <w:t xml:space="preserve">It would be naive to conclude that to give testimony is a healing process, because such a claim was derived from political convenience. At the same time it is impossible to deny that for many of the people we spoke to, sharing testimony was important for their psychological well being. </w:t>
      </w:r>
      <w:r w:rsidRPr="006B176A">
        <w:rPr>
          <w:rFonts w:ascii="Times New Roman" w:hAnsi="Times New Roman"/>
        </w:rPr>
        <w:t>At the heart of this process is the role of language</w:t>
      </w:r>
      <w:r>
        <w:rPr>
          <w:rFonts w:ascii="Times New Roman" w:hAnsi="Times New Roman"/>
        </w:rPr>
        <w:t>,</w:t>
      </w:r>
      <w:r w:rsidRPr="006B176A">
        <w:rPr>
          <w:rFonts w:ascii="Times New Roman" w:hAnsi="Times New Roman"/>
        </w:rPr>
        <w:t xml:space="preserve"> which struc</w:t>
      </w:r>
      <w:r>
        <w:rPr>
          <w:rFonts w:ascii="Times New Roman" w:hAnsi="Times New Roman"/>
        </w:rPr>
        <w:t>tures, shapes and transforms the process of reparation and recovery</w:t>
      </w:r>
      <w:r w:rsidRPr="006B176A">
        <w:rPr>
          <w:rFonts w:ascii="Times New Roman" w:hAnsi="Times New Roman"/>
        </w:rPr>
        <w:t xml:space="preserve">. </w:t>
      </w:r>
      <w:r>
        <w:rPr>
          <w:rFonts w:ascii="Times New Roman" w:hAnsi="Times New Roman"/>
        </w:rPr>
        <w:t>Language is both a barrier and an opportunity, the source of symbolic and tangible capital</w:t>
      </w:r>
      <w:r w:rsidR="00035A94">
        <w:rPr>
          <w:rFonts w:ascii="Times New Roman" w:hAnsi="Times New Roman"/>
        </w:rPr>
        <w:t xml:space="preserve"> and the driving force for hope:</w:t>
      </w:r>
      <w:r>
        <w:rPr>
          <w:rFonts w:ascii="Times New Roman" w:hAnsi="Times New Roman"/>
        </w:rPr>
        <w:t xml:space="preserve"> hope for healing, hope for truth and hope for a day when the “victims” can truly feel that they are not a victim, but instead simply a person, a Peruvian. </w:t>
      </w:r>
    </w:p>
    <w:p w:rsidR="008A5D42" w:rsidRDefault="008A5D42" w:rsidP="008A5D42">
      <w:pPr>
        <w:rPr>
          <w:b/>
        </w:rPr>
      </w:pPr>
    </w:p>
    <w:p w:rsidR="008A5D42" w:rsidRPr="00D86E34" w:rsidRDefault="00D86E34" w:rsidP="008A5D42">
      <w:r>
        <w:t>*An earlier version of this essay was submitted to Dr. Eric Henry in April 2012 as an assignment in ANTH 4491 Ethnography of Communication.</w:t>
      </w:r>
    </w:p>
    <w:p w:rsidR="008A5D42" w:rsidRPr="008E7E53" w:rsidRDefault="008A5D42" w:rsidP="008E7E53">
      <w:pPr>
        <w:rPr>
          <w:b/>
          <w:u w:val="single"/>
        </w:rPr>
      </w:pPr>
    </w:p>
    <w:p w:rsidR="008A5D42" w:rsidRPr="00035A94" w:rsidRDefault="00035A94" w:rsidP="008E7E53">
      <w:pPr>
        <w:jc w:val="center"/>
      </w:pPr>
      <w:r>
        <w:t>References Cited</w:t>
      </w:r>
    </w:p>
    <w:p w:rsidR="008A5D42" w:rsidRDefault="008A5D42" w:rsidP="008A5D42"/>
    <w:p w:rsidR="008A5D42" w:rsidRPr="008A5D42" w:rsidRDefault="008A5D42" w:rsidP="008A5D42">
      <w:pPr>
        <w:rPr>
          <w:rFonts w:ascii="Times New Roman" w:hAnsi="Times New Roman"/>
        </w:rPr>
      </w:pPr>
      <w:r w:rsidRPr="006C640B">
        <w:rPr>
          <w:rFonts w:ascii="Times New Roman" w:hAnsi="Times New Roman"/>
        </w:rPr>
        <w:t xml:space="preserve">Baker, Ann and </w:t>
      </w:r>
      <w:r w:rsidRPr="008A5D42">
        <w:rPr>
          <w:rFonts w:ascii="Times New Roman" w:hAnsi="Times New Roman"/>
        </w:rPr>
        <w:t xml:space="preserve">Kees Hengevveld </w:t>
      </w:r>
    </w:p>
    <w:p w:rsidR="008A5D42" w:rsidRPr="008A5D42" w:rsidRDefault="00DC4B3F" w:rsidP="008A5D42">
      <w:pPr>
        <w:ind w:left="567" w:hanging="283"/>
        <w:rPr>
          <w:rFonts w:ascii="Times New Roman" w:hAnsi="Times New Roman"/>
        </w:rPr>
      </w:pPr>
      <w:r>
        <w:rPr>
          <w:rFonts w:ascii="Times New Roman" w:hAnsi="Times New Roman"/>
        </w:rPr>
        <w:t>2012 An U</w:t>
      </w:r>
      <w:r w:rsidR="008A5D42" w:rsidRPr="008A5D42">
        <w:rPr>
          <w:rFonts w:ascii="Times New Roman" w:hAnsi="Times New Roman"/>
        </w:rPr>
        <w:t xml:space="preserve">tterance as an Act </w:t>
      </w:r>
      <w:r w:rsidR="008A5D42" w:rsidRPr="008A5D42">
        <w:rPr>
          <w:rFonts w:ascii="Times New Roman" w:hAnsi="Times New Roman"/>
          <w:i/>
        </w:rPr>
        <w:t>in</w:t>
      </w:r>
      <w:r w:rsidR="008A5D42" w:rsidRPr="008A5D42">
        <w:rPr>
          <w:rFonts w:ascii="Times New Roman" w:hAnsi="Times New Roman"/>
        </w:rPr>
        <w:t xml:space="preserve"> Linguistics. </w:t>
      </w:r>
      <w:r w:rsidR="008A5D42" w:rsidRPr="008A5D42">
        <w:rPr>
          <w:rFonts w:ascii="Times New Roman" w:hAnsi="Times New Roman" w:cs="Arial"/>
          <w:szCs w:val="26"/>
        </w:rPr>
        <w:t>John Wiley &amp; Sons</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Baquedano-Lopez P.</w:t>
      </w:r>
    </w:p>
    <w:p w:rsidR="00915D87" w:rsidRDefault="008A5D42" w:rsidP="008A5D42">
      <w:pPr>
        <w:ind w:left="567" w:hanging="283"/>
        <w:rPr>
          <w:rFonts w:ascii="Times New Roman" w:hAnsi="Times New Roman"/>
        </w:rPr>
      </w:pPr>
      <w:r w:rsidRPr="006C640B">
        <w:rPr>
          <w:rFonts w:ascii="Times New Roman" w:hAnsi="Times New Roman"/>
        </w:rPr>
        <w:t>1997 Creating Social Identities through Doctrina Narratives</w:t>
      </w:r>
      <w:r w:rsidR="00915D87">
        <w:rPr>
          <w:rFonts w:ascii="Times New Roman" w:hAnsi="Times New Roman"/>
        </w:rPr>
        <w:t>. Issues in Applied Linguistics</w:t>
      </w:r>
    </w:p>
    <w:p w:rsidR="008A5D42" w:rsidRPr="006C640B" w:rsidRDefault="008A5D42" w:rsidP="008A5D42">
      <w:pPr>
        <w:ind w:left="567" w:hanging="283"/>
        <w:rPr>
          <w:rFonts w:ascii="Times New Roman" w:hAnsi="Times New Roman"/>
        </w:rPr>
      </w:pPr>
      <w:r w:rsidRPr="006C640B">
        <w:rPr>
          <w:rFonts w:ascii="Times New Roman" w:hAnsi="Times New Roman"/>
        </w:rPr>
        <w:t>8(1):27-45.</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 xml:space="preserve">Chatterjee P. </w:t>
      </w:r>
    </w:p>
    <w:p w:rsidR="00915D87" w:rsidRDefault="00DC4B3F" w:rsidP="008A5D42">
      <w:pPr>
        <w:ind w:left="567" w:hanging="283"/>
        <w:rPr>
          <w:rFonts w:ascii="Times New Roman" w:hAnsi="Times New Roman"/>
        </w:rPr>
      </w:pPr>
      <w:r>
        <w:rPr>
          <w:rFonts w:ascii="Times New Roman" w:hAnsi="Times New Roman"/>
        </w:rPr>
        <w:t xml:space="preserve">  1993  The Nation and I</w:t>
      </w:r>
      <w:r w:rsidR="008A5D42" w:rsidRPr="006C640B">
        <w:rPr>
          <w:rFonts w:ascii="Times New Roman" w:hAnsi="Times New Roman"/>
        </w:rPr>
        <w:t>ts Fragments: Colonial and Postcol</w:t>
      </w:r>
      <w:r w:rsidR="00915D87">
        <w:rPr>
          <w:rFonts w:ascii="Times New Roman" w:hAnsi="Times New Roman"/>
        </w:rPr>
        <w:t>onial Histories. Princeton, NJ:</w:t>
      </w:r>
    </w:p>
    <w:p w:rsidR="008A5D42" w:rsidRPr="006C640B" w:rsidRDefault="00915D87" w:rsidP="008A5D42">
      <w:pPr>
        <w:ind w:left="567" w:hanging="283"/>
        <w:rPr>
          <w:rFonts w:ascii="Times New Roman" w:hAnsi="Times New Roman"/>
        </w:rPr>
      </w:pPr>
      <w:r>
        <w:rPr>
          <w:rFonts w:ascii="Times New Roman" w:hAnsi="Times New Roman"/>
        </w:rPr>
        <w:t xml:space="preserve">  </w:t>
      </w:r>
      <w:r w:rsidR="008A5D42" w:rsidRPr="006C640B">
        <w:rPr>
          <w:rFonts w:ascii="Times New Roman" w:hAnsi="Times New Roman"/>
        </w:rPr>
        <w:t xml:space="preserve">Princeton University Press. </w:t>
      </w:r>
    </w:p>
    <w:p w:rsidR="008A5D42" w:rsidRPr="006C640B" w:rsidRDefault="008A5D42" w:rsidP="008A5D42">
      <w:pPr>
        <w:ind w:left="567" w:hanging="283"/>
        <w:rPr>
          <w:rFonts w:ascii="Times New Roman" w:hAnsi="Times New Roman"/>
        </w:rPr>
      </w:pPr>
    </w:p>
    <w:p w:rsidR="008A5D42" w:rsidRPr="006C640B" w:rsidRDefault="008A5D42" w:rsidP="008A5D42">
      <w:pPr>
        <w:rPr>
          <w:rFonts w:ascii="Times New Roman" w:hAnsi="Times New Roman" w:cs="Arial"/>
          <w:szCs w:val="26"/>
        </w:rPr>
      </w:pPr>
      <w:r w:rsidRPr="006C640B">
        <w:rPr>
          <w:rFonts w:ascii="Times New Roman" w:hAnsi="Times New Roman" w:cs="Arial"/>
          <w:szCs w:val="26"/>
        </w:rPr>
        <w:t xml:space="preserve">Erickson, Paul &amp; Liam Murphy </w:t>
      </w:r>
    </w:p>
    <w:p w:rsidR="008A5D42" w:rsidRPr="006C640B" w:rsidRDefault="008A5D42" w:rsidP="008A5D42">
      <w:pPr>
        <w:ind w:firstLine="284"/>
        <w:rPr>
          <w:rFonts w:ascii="Times New Roman" w:hAnsi="Times New Roman"/>
        </w:rPr>
      </w:pPr>
      <w:r w:rsidRPr="006C640B">
        <w:rPr>
          <w:rFonts w:ascii="Times New Roman" w:hAnsi="Times New Roman" w:cs="Arial"/>
          <w:szCs w:val="26"/>
        </w:rPr>
        <w:t>2008 A History of Anthropological Theory</w:t>
      </w:r>
      <w:r w:rsidR="00DC4B3F">
        <w:rPr>
          <w:rFonts w:ascii="Times New Roman" w:hAnsi="Times New Roman" w:cs="Arial"/>
          <w:szCs w:val="26"/>
        </w:rPr>
        <w:t>, 3rd ed</w:t>
      </w:r>
      <w:r w:rsidRPr="006C640B">
        <w:rPr>
          <w:rFonts w:ascii="Times New Roman" w:hAnsi="Times New Roman" w:cs="Arial"/>
          <w:szCs w:val="26"/>
        </w:rPr>
        <w:t xml:space="preserve">. Toronto: University of Toronto Press. </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 xml:space="preserve">Clifford James </w:t>
      </w:r>
    </w:p>
    <w:p w:rsidR="008A5D42" w:rsidRPr="006C640B" w:rsidRDefault="00DC4B3F" w:rsidP="008A5D42">
      <w:pPr>
        <w:ind w:firstLine="284"/>
        <w:rPr>
          <w:rFonts w:ascii="Times New Roman" w:hAnsi="Times New Roman"/>
        </w:rPr>
      </w:pPr>
      <w:r>
        <w:rPr>
          <w:rFonts w:ascii="Times New Roman" w:hAnsi="Times New Roman"/>
        </w:rPr>
        <w:t>1986  Writing Culture: the Poetics and Politics of E</w:t>
      </w:r>
      <w:r w:rsidR="008A5D42" w:rsidRPr="006C640B">
        <w:rPr>
          <w:rFonts w:ascii="Times New Roman" w:hAnsi="Times New Roman"/>
        </w:rPr>
        <w:t xml:space="preserve">thnography. University of California Press.  </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Daly, Erin</w:t>
      </w:r>
    </w:p>
    <w:p w:rsidR="00915D87" w:rsidRDefault="008A5D42" w:rsidP="008A5D42">
      <w:pPr>
        <w:ind w:left="567" w:hanging="425"/>
        <w:rPr>
          <w:rFonts w:ascii="Times New Roman" w:hAnsi="Times New Roman"/>
        </w:rPr>
      </w:pPr>
      <w:r w:rsidRPr="006C640B">
        <w:rPr>
          <w:rFonts w:ascii="Times New Roman" w:hAnsi="Times New Roman"/>
        </w:rPr>
        <w:t xml:space="preserve">   2008  Truth Skepticism</w:t>
      </w:r>
      <w:r w:rsidR="0043145F" w:rsidRPr="006C640B">
        <w:rPr>
          <w:rFonts w:ascii="Times New Roman" w:hAnsi="Times New Roman"/>
        </w:rPr>
        <w:t>: An</w:t>
      </w:r>
      <w:r w:rsidRPr="006C640B">
        <w:rPr>
          <w:rFonts w:ascii="Times New Roman" w:hAnsi="Times New Roman"/>
        </w:rPr>
        <w:t xml:space="preserve"> Inquiry int</w:t>
      </w:r>
      <w:r w:rsidR="00DC4B3F">
        <w:rPr>
          <w:rFonts w:ascii="Times New Roman" w:hAnsi="Times New Roman"/>
        </w:rPr>
        <w:t>o the V</w:t>
      </w:r>
      <w:r w:rsidRPr="006C640B">
        <w:rPr>
          <w:rFonts w:ascii="Times New Roman" w:hAnsi="Times New Roman"/>
        </w:rPr>
        <w:t>alue of Tr</w:t>
      </w:r>
      <w:r w:rsidR="00915D87">
        <w:rPr>
          <w:rFonts w:ascii="Times New Roman" w:hAnsi="Times New Roman"/>
        </w:rPr>
        <w:t>uth in Times of Transition. The</w:t>
      </w:r>
    </w:p>
    <w:p w:rsidR="008A5D42" w:rsidRPr="006C640B" w:rsidRDefault="00915D87" w:rsidP="00915D87">
      <w:pPr>
        <w:ind w:left="567" w:hanging="425"/>
        <w:rPr>
          <w:rFonts w:ascii="Times New Roman" w:hAnsi="Times New Roman"/>
        </w:rPr>
      </w:pPr>
      <w:r>
        <w:rPr>
          <w:rFonts w:ascii="Times New Roman" w:hAnsi="Times New Roman"/>
        </w:rPr>
        <w:t xml:space="preserve">   </w:t>
      </w:r>
      <w:r w:rsidR="008A5D42" w:rsidRPr="006C640B">
        <w:rPr>
          <w:rFonts w:ascii="Times New Roman" w:hAnsi="Times New Roman"/>
        </w:rPr>
        <w:t xml:space="preserve">International Journal of Transitional Justice 2:23-41 </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 xml:space="preserve">Duranti A. </w:t>
      </w:r>
    </w:p>
    <w:p w:rsidR="008E5388" w:rsidRDefault="008A5D42" w:rsidP="008A5D42">
      <w:pPr>
        <w:ind w:left="567" w:hanging="283"/>
        <w:rPr>
          <w:rFonts w:ascii="Times New Roman" w:hAnsi="Times New Roman"/>
        </w:rPr>
      </w:pPr>
      <w:r w:rsidRPr="006C640B">
        <w:rPr>
          <w:rFonts w:ascii="Times New Roman" w:hAnsi="Times New Roman"/>
        </w:rPr>
        <w:t xml:space="preserve">  2006  Narrating the Political Self in a Campaign for U</w:t>
      </w:r>
      <w:r w:rsidR="008E5388">
        <w:rPr>
          <w:rFonts w:ascii="Times New Roman" w:hAnsi="Times New Roman"/>
        </w:rPr>
        <w:t>S Congress. Language in Society</w:t>
      </w:r>
    </w:p>
    <w:p w:rsidR="008A5D42" w:rsidRPr="006C640B" w:rsidRDefault="008E5388" w:rsidP="008E5388">
      <w:pPr>
        <w:ind w:left="567" w:hanging="283"/>
        <w:rPr>
          <w:rFonts w:ascii="Times New Roman" w:hAnsi="Times New Roman"/>
        </w:rPr>
      </w:pPr>
      <w:r>
        <w:rPr>
          <w:rFonts w:ascii="Times New Roman" w:hAnsi="Times New Roman"/>
        </w:rPr>
        <w:t xml:space="preserve">  </w:t>
      </w:r>
      <w:r w:rsidR="008A5D42" w:rsidRPr="006C640B">
        <w:rPr>
          <w:rFonts w:ascii="Times New Roman" w:hAnsi="Times New Roman"/>
        </w:rPr>
        <w:t>35:467-97</w:t>
      </w:r>
    </w:p>
    <w:p w:rsidR="008A5D42" w:rsidRPr="006C640B" w:rsidRDefault="008A5D42" w:rsidP="008A5D42">
      <w:pPr>
        <w:rPr>
          <w:rFonts w:ascii="Times New Roman" w:hAnsi="Times New Roman"/>
        </w:rPr>
      </w:pPr>
    </w:p>
    <w:p w:rsidR="008A5D42" w:rsidRPr="006C640B" w:rsidRDefault="008A5D42" w:rsidP="008A5D42">
      <w:pPr>
        <w:pStyle w:val="NormalWeb"/>
        <w:spacing w:before="2" w:after="2"/>
        <w:rPr>
          <w:rFonts w:ascii="Times New Roman" w:hAnsi="Times New Roman"/>
          <w:sz w:val="24"/>
          <w:szCs w:val="24"/>
        </w:rPr>
      </w:pPr>
      <w:r w:rsidRPr="006C640B">
        <w:rPr>
          <w:rFonts w:ascii="Times New Roman" w:hAnsi="Times New Roman"/>
          <w:sz w:val="24"/>
          <w:szCs w:val="24"/>
        </w:rPr>
        <w:t xml:space="preserve">Felman, Shoshana, and Dori Laub. </w:t>
      </w:r>
    </w:p>
    <w:p w:rsidR="00915D87" w:rsidRDefault="008A5D42" w:rsidP="008A5D42">
      <w:pPr>
        <w:pStyle w:val="NormalWeb"/>
        <w:spacing w:before="2" w:after="2"/>
        <w:ind w:left="709" w:hanging="283"/>
        <w:rPr>
          <w:rFonts w:ascii="Times New Roman" w:hAnsi="Times New Roman"/>
          <w:sz w:val="24"/>
          <w:szCs w:val="24"/>
        </w:rPr>
      </w:pPr>
      <w:r w:rsidRPr="006C640B">
        <w:rPr>
          <w:rFonts w:ascii="Times New Roman" w:hAnsi="Times New Roman"/>
          <w:sz w:val="24"/>
          <w:szCs w:val="24"/>
        </w:rPr>
        <w:t xml:space="preserve">1992. </w:t>
      </w:r>
      <w:r w:rsidR="00DC4B3F">
        <w:rPr>
          <w:rFonts w:ascii="Times New Roman" w:hAnsi="Times New Roman"/>
          <w:sz w:val="24"/>
          <w:szCs w:val="24"/>
        </w:rPr>
        <w:t xml:space="preserve">Testimony: Crises of Witnessing in Literature, Psychoanalysis and History. </w:t>
      </w:r>
      <w:r w:rsidR="00915D87">
        <w:rPr>
          <w:rFonts w:ascii="Times New Roman" w:hAnsi="Times New Roman"/>
          <w:sz w:val="24"/>
          <w:szCs w:val="24"/>
        </w:rPr>
        <w:t>New York:</w:t>
      </w:r>
    </w:p>
    <w:p w:rsidR="008A5D42" w:rsidRPr="006C640B" w:rsidRDefault="008A5D42" w:rsidP="008A5D42">
      <w:pPr>
        <w:pStyle w:val="NormalWeb"/>
        <w:spacing w:before="2" w:after="2"/>
        <w:ind w:left="709" w:hanging="283"/>
        <w:rPr>
          <w:rFonts w:ascii="Times New Roman" w:hAnsi="Times New Roman"/>
          <w:sz w:val="24"/>
        </w:rPr>
      </w:pPr>
      <w:r w:rsidRPr="006C640B">
        <w:rPr>
          <w:rFonts w:ascii="Times New Roman" w:hAnsi="Times New Roman"/>
          <w:sz w:val="24"/>
          <w:szCs w:val="24"/>
        </w:rPr>
        <w:t>Routledge.</w:t>
      </w:r>
    </w:p>
    <w:p w:rsidR="00915D87" w:rsidRDefault="00915D87" w:rsidP="008A5D42">
      <w:pPr>
        <w:rPr>
          <w:rFonts w:ascii="Times New Roman" w:hAnsi="Times New Roman" w:cs="Arial"/>
          <w:szCs w:val="26"/>
        </w:rPr>
      </w:pPr>
    </w:p>
    <w:p w:rsidR="008A5D42" w:rsidRPr="006C640B" w:rsidRDefault="008A5D42" w:rsidP="008A5D42">
      <w:pPr>
        <w:rPr>
          <w:rFonts w:ascii="Times New Roman" w:hAnsi="Times New Roman" w:cs="Arial"/>
          <w:szCs w:val="26"/>
        </w:rPr>
      </w:pPr>
      <w:r w:rsidRPr="006C640B">
        <w:rPr>
          <w:rFonts w:ascii="Times New Roman" w:hAnsi="Times New Roman" w:cs="Arial"/>
          <w:szCs w:val="26"/>
        </w:rPr>
        <w:t>Gee</w:t>
      </w:r>
      <w:r>
        <w:rPr>
          <w:rFonts w:ascii="Times New Roman" w:hAnsi="Times New Roman" w:cs="Arial"/>
          <w:szCs w:val="26"/>
        </w:rPr>
        <w:t xml:space="preserve"> J.P.</w:t>
      </w:r>
    </w:p>
    <w:p w:rsidR="008A5D42" w:rsidRPr="006C640B" w:rsidRDefault="008A5D42" w:rsidP="008A5D42">
      <w:pPr>
        <w:pStyle w:val="NormalWeb"/>
        <w:spacing w:before="2" w:after="2"/>
        <w:ind w:left="567" w:hanging="283"/>
        <w:rPr>
          <w:rFonts w:ascii="Times New Roman" w:hAnsi="Times New Roman"/>
          <w:sz w:val="24"/>
        </w:rPr>
      </w:pPr>
      <w:r w:rsidRPr="006C640B">
        <w:rPr>
          <w:rFonts w:ascii="Times New Roman" w:hAnsi="Times New Roman" w:cs="Arial"/>
          <w:sz w:val="24"/>
          <w:szCs w:val="26"/>
        </w:rPr>
        <w:t xml:space="preserve">1999 </w:t>
      </w:r>
      <w:r w:rsidR="00DC4B3F">
        <w:rPr>
          <w:rFonts w:ascii="Times New Roman" w:hAnsi="Times New Roman" w:cs="Arial"/>
          <w:sz w:val="24"/>
          <w:szCs w:val="26"/>
        </w:rPr>
        <w:t xml:space="preserve">An Introduction to Discourse Analysis: Theory and Methods. </w:t>
      </w:r>
      <w:r w:rsidRPr="006C640B">
        <w:rPr>
          <w:rFonts w:ascii="Times New Roman" w:hAnsi="Times New Roman"/>
          <w:sz w:val="24"/>
          <w:szCs w:val="18"/>
        </w:rPr>
        <w:t xml:space="preserve">London, </w:t>
      </w:r>
    </w:p>
    <w:p w:rsidR="008A5D42" w:rsidRPr="006C640B" w:rsidRDefault="008A5D42" w:rsidP="00915D87">
      <w:pPr>
        <w:pStyle w:val="NormalWeb"/>
        <w:spacing w:before="2" w:after="2"/>
        <w:ind w:firstLine="284"/>
        <w:rPr>
          <w:rFonts w:ascii="Times New Roman" w:hAnsi="Times New Roman"/>
          <w:sz w:val="24"/>
        </w:rPr>
      </w:pPr>
      <w:r w:rsidRPr="006C640B">
        <w:rPr>
          <w:rFonts w:ascii="Times New Roman" w:hAnsi="Times New Roman"/>
          <w:sz w:val="24"/>
        </w:rPr>
        <w:t xml:space="preserve">New </w:t>
      </w:r>
      <w:r w:rsidRPr="006C640B">
        <w:rPr>
          <w:rFonts w:ascii="Times New Roman" w:hAnsi="Times New Roman"/>
          <w:sz w:val="24"/>
          <w:szCs w:val="18"/>
        </w:rPr>
        <w:t>York: Routledge.</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 xml:space="preserve">Hamber and Wilson </w:t>
      </w:r>
    </w:p>
    <w:p w:rsidR="00915D87" w:rsidRDefault="00DC4B3F" w:rsidP="008A5D42">
      <w:pPr>
        <w:ind w:left="567" w:hanging="283"/>
        <w:rPr>
          <w:rFonts w:ascii="Times New Roman" w:hAnsi="Times New Roman"/>
        </w:rPr>
      </w:pPr>
      <w:r>
        <w:rPr>
          <w:rFonts w:ascii="Times New Roman" w:hAnsi="Times New Roman"/>
        </w:rPr>
        <w:t>2002  Symbolic Closure through Memory, Reparation and Revenge in Post Conflict S</w:t>
      </w:r>
      <w:r w:rsidR="00915D87">
        <w:rPr>
          <w:rFonts w:ascii="Times New Roman" w:hAnsi="Times New Roman"/>
        </w:rPr>
        <w:t>ocieties.</w:t>
      </w:r>
    </w:p>
    <w:p w:rsidR="008A5D42" w:rsidRPr="006C640B" w:rsidRDefault="008A5D42" w:rsidP="008A5D42">
      <w:pPr>
        <w:ind w:left="567" w:hanging="283"/>
        <w:rPr>
          <w:rFonts w:ascii="Times New Roman" w:hAnsi="Times New Roman"/>
        </w:rPr>
      </w:pPr>
      <w:r w:rsidRPr="006C640B">
        <w:rPr>
          <w:rFonts w:ascii="Times New Roman" w:hAnsi="Times New Roman"/>
        </w:rPr>
        <w:t xml:space="preserve">Journal of Human Rights 1(1):35-53. </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 xml:space="preserve">Hayner, Pricilla </w:t>
      </w:r>
    </w:p>
    <w:p w:rsidR="00915D87" w:rsidRDefault="008A5D42" w:rsidP="008A5D42">
      <w:pPr>
        <w:ind w:left="709" w:hanging="283"/>
        <w:rPr>
          <w:rFonts w:ascii="Times New Roman" w:hAnsi="Times New Roman"/>
        </w:rPr>
      </w:pPr>
      <w:r w:rsidRPr="006C640B">
        <w:rPr>
          <w:rFonts w:ascii="Times New Roman" w:hAnsi="Times New Roman"/>
        </w:rPr>
        <w:t xml:space="preserve">1994  Fifteen Truth Commissions—1974 to 1994:A </w:t>
      </w:r>
      <w:r w:rsidR="00915D87">
        <w:rPr>
          <w:rFonts w:ascii="Times New Roman" w:hAnsi="Times New Roman"/>
        </w:rPr>
        <w:t>Comparative Study. Human Rights</w:t>
      </w:r>
    </w:p>
    <w:p w:rsidR="008A5D42" w:rsidRPr="006C640B" w:rsidRDefault="008A5D42" w:rsidP="008A5D42">
      <w:pPr>
        <w:ind w:left="709" w:hanging="283"/>
        <w:rPr>
          <w:rFonts w:ascii="Times New Roman" w:hAnsi="Times New Roman"/>
        </w:rPr>
      </w:pPr>
      <w:r w:rsidRPr="006C640B">
        <w:rPr>
          <w:rFonts w:ascii="Times New Roman" w:hAnsi="Times New Roman"/>
        </w:rPr>
        <w:t xml:space="preserve">Quarterly 16(4):597-655. </w:t>
      </w:r>
    </w:p>
    <w:p w:rsidR="008A5D42" w:rsidRPr="006C640B" w:rsidRDefault="008A5D42" w:rsidP="008A5D42">
      <w:pPr>
        <w:pStyle w:val="NormalWeb"/>
        <w:spacing w:before="2" w:after="2"/>
        <w:rPr>
          <w:rFonts w:ascii="Times New Roman" w:hAnsi="Times New Roman"/>
          <w:sz w:val="24"/>
        </w:rPr>
      </w:pPr>
      <w:r w:rsidRPr="006C640B">
        <w:rPr>
          <w:rFonts w:ascii="Times New Roman" w:hAnsi="Times New Roman"/>
          <w:sz w:val="24"/>
        </w:rPr>
        <w:t xml:space="preserve"> </w:t>
      </w:r>
    </w:p>
    <w:p w:rsidR="008A5D42" w:rsidRPr="006C640B" w:rsidRDefault="008A5D42" w:rsidP="008A5D42">
      <w:pPr>
        <w:rPr>
          <w:rFonts w:ascii="Times New Roman" w:hAnsi="Times New Roman"/>
        </w:rPr>
      </w:pPr>
      <w:r w:rsidRPr="006C640B">
        <w:rPr>
          <w:rFonts w:ascii="Times New Roman" w:hAnsi="Times New Roman"/>
        </w:rPr>
        <w:t>Lakoff George &amp; Mark Turner</w:t>
      </w:r>
    </w:p>
    <w:p w:rsidR="00915D87" w:rsidRDefault="008A5D42" w:rsidP="008A5D42">
      <w:pPr>
        <w:ind w:left="709" w:hanging="425"/>
        <w:rPr>
          <w:rFonts w:ascii="Times New Roman" w:hAnsi="Times New Roman"/>
        </w:rPr>
      </w:pPr>
      <w:r w:rsidRPr="006C640B">
        <w:rPr>
          <w:rFonts w:ascii="Times New Roman" w:hAnsi="Times New Roman"/>
        </w:rPr>
        <w:t xml:space="preserve">  1989  </w:t>
      </w:r>
      <w:r w:rsidR="00DC4B3F">
        <w:rPr>
          <w:rFonts w:ascii="Times New Roman" w:hAnsi="Times New Roman"/>
        </w:rPr>
        <w:t>More than Cool Reason: A field G</w:t>
      </w:r>
      <w:r w:rsidRPr="006C640B">
        <w:rPr>
          <w:rFonts w:ascii="Times New Roman" w:hAnsi="Times New Roman"/>
        </w:rPr>
        <w:t>uide to Poetic Metap</w:t>
      </w:r>
      <w:r w:rsidR="00915D87">
        <w:rPr>
          <w:rFonts w:ascii="Times New Roman" w:hAnsi="Times New Roman"/>
        </w:rPr>
        <w:t>hor. Chicago, Il: University of</w:t>
      </w:r>
    </w:p>
    <w:p w:rsidR="008A5D42" w:rsidRPr="006C640B" w:rsidRDefault="008A5D42" w:rsidP="008A5D42">
      <w:pPr>
        <w:ind w:left="709" w:hanging="425"/>
        <w:rPr>
          <w:rFonts w:ascii="Times New Roman" w:hAnsi="Times New Roman"/>
        </w:rPr>
      </w:pPr>
      <w:r w:rsidRPr="006C640B">
        <w:rPr>
          <w:rFonts w:ascii="Times New Roman" w:hAnsi="Times New Roman"/>
        </w:rPr>
        <w:lastRenderedPageBreak/>
        <w:t>Chicago Press</w:t>
      </w:r>
      <w:r>
        <w:rPr>
          <w:rFonts w:ascii="Times New Roman" w:hAnsi="Times New Roman"/>
        </w:rPr>
        <w:t>.</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 xml:space="preserve">Laplante Lisa &amp; Kimberly Theidon </w:t>
      </w:r>
    </w:p>
    <w:p w:rsidR="008A5D42" w:rsidRDefault="008A5D42" w:rsidP="008E5388">
      <w:pPr>
        <w:ind w:left="300"/>
        <w:rPr>
          <w:rFonts w:ascii="Times New Roman" w:hAnsi="Times New Roman"/>
        </w:rPr>
      </w:pPr>
      <w:r w:rsidRPr="006C640B">
        <w:rPr>
          <w:rFonts w:ascii="Times New Roman" w:hAnsi="Times New Roman"/>
        </w:rPr>
        <w:t xml:space="preserve">2007  Truth with Consequences: Justice and Reparations in Post Truth Commission Peru. </w:t>
      </w:r>
      <w:r w:rsidR="00DC4B3F">
        <w:rPr>
          <w:rFonts w:ascii="Times New Roman" w:hAnsi="Times New Roman"/>
        </w:rPr>
        <w:t xml:space="preserve"> </w:t>
      </w:r>
      <w:r w:rsidR="008E5388">
        <w:rPr>
          <w:rFonts w:ascii="Times New Roman" w:hAnsi="Times New Roman"/>
        </w:rPr>
        <w:t xml:space="preserve">    </w:t>
      </w:r>
      <w:r w:rsidRPr="006C640B">
        <w:rPr>
          <w:rFonts w:ascii="Times New Roman" w:hAnsi="Times New Roman"/>
        </w:rPr>
        <w:t>Human Rights Quarterly 29:228-250.</w:t>
      </w:r>
    </w:p>
    <w:p w:rsidR="008A5D42"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Meneloff, David</w:t>
      </w:r>
    </w:p>
    <w:p w:rsidR="008E5388" w:rsidRDefault="008A5D42" w:rsidP="008A5D42">
      <w:pPr>
        <w:ind w:left="567" w:hanging="283"/>
        <w:rPr>
          <w:rFonts w:ascii="Times New Roman" w:hAnsi="Times New Roman"/>
        </w:rPr>
      </w:pPr>
      <w:r w:rsidRPr="006C640B">
        <w:rPr>
          <w:rFonts w:ascii="Times New Roman" w:hAnsi="Times New Roman"/>
        </w:rPr>
        <w:t xml:space="preserve">2004 Truth Seeking, Truth Telling, and </w:t>
      </w:r>
      <w:r w:rsidR="008E5388">
        <w:rPr>
          <w:rFonts w:ascii="Times New Roman" w:hAnsi="Times New Roman"/>
        </w:rPr>
        <w:t>Post C</w:t>
      </w:r>
      <w:r w:rsidR="008E7E53" w:rsidRPr="006C640B">
        <w:rPr>
          <w:rFonts w:ascii="Times New Roman" w:hAnsi="Times New Roman"/>
        </w:rPr>
        <w:t>onflict</w:t>
      </w:r>
      <w:r w:rsidRPr="006C640B">
        <w:rPr>
          <w:rFonts w:ascii="Times New Roman" w:hAnsi="Times New Roman"/>
        </w:rPr>
        <w:t xml:space="preserve"> </w:t>
      </w:r>
      <w:r w:rsidR="008E5388">
        <w:rPr>
          <w:rFonts w:ascii="Times New Roman" w:hAnsi="Times New Roman"/>
        </w:rPr>
        <w:t>Peace B</w:t>
      </w:r>
      <w:r w:rsidR="008E7E53" w:rsidRPr="006C640B">
        <w:rPr>
          <w:rFonts w:ascii="Times New Roman" w:hAnsi="Times New Roman"/>
        </w:rPr>
        <w:t>uilding</w:t>
      </w:r>
      <w:r w:rsidR="008E5388">
        <w:rPr>
          <w:rFonts w:ascii="Times New Roman" w:hAnsi="Times New Roman"/>
        </w:rPr>
        <w:t>: Curb the Enthusiasm?</w:t>
      </w:r>
    </w:p>
    <w:p w:rsidR="008A5D42" w:rsidRPr="006C640B" w:rsidRDefault="008A5D42" w:rsidP="008A5D42">
      <w:pPr>
        <w:ind w:left="567" w:hanging="283"/>
        <w:rPr>
          <w:rFonts w:ascii="Times New Roman" w:hAnsi="Times New Roman"/>
        </w:rPr>
      </w:pPr>
      <w:r w:rsidRPr="006C640B">
        <w:rPr>
          <w:rFonts w:ascii="Times New Roman" w:hAnsi="Times New Roman"/>
        </w:rPr>
        <w:t xml:space="preserve">International Studies Review 6(3): 355-380. </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Morris Randahl</w:t>
      </w:r>
    </w:p>
    <w:p w:rsidR="008E5388" w:rsidRDefault="008A5D42" w:rsidP="008A5D42">
      <w:pPr>
        <w:ind w:left="567" w:hanging="283"/>
        <w:rPr>
          <w:rFonts w:ascii="Times New Roman" w:hAnsi="Times New Roman"/>
        </w:rPr>
      </w:pPr>
      <w:r>
        <w:rPr>
          <w:rFonts w:ascii="Times New Roman" w:hAnsi="Times New Roman"/>
        </w:rPr>
        <w:t xml:space="preserve"> </w:t>
      </w:r>
      <w:r w:rsidRPr="006C640B">
        <w:rPr>
          <w:rFonts w:ascii="Times New Roman" w:hAnsi="Times New Roman"/>
        </w:rPr>
        <w:t>2012 Reconsidering Testimonial Forms and Social Justice: A S</w:t>
      </w:r>
      <w:r w:rsidR="008E5388">
        <w:rPr>
          <w:rFonts w:ascii="Times New Roman" w:hAnsi="Times New Roman"/>
        </w:rPr>
        <w:t>tudy of Official and Unofficial</w:t>
      </w:r>
    </w:p>
    <w:p w:rsidR="008A5D42" w:rsidRPr="006C640B" w:rsidRDefault="008E5388" w:rsidP="008A5D42">
      <w:pPr>
        <w:ind w:left="567" w:hanging="283"/>
        <w:rPr>
          <w:rFonts w:ascii="Times New Roman" w:hAnsi="Times New Roman"/>
        </w:rPr>
      </w:pPr>
      <w:r>
        <w:rPr>
          <w:rFonts w:ascii="Times New Roman" w:hAnsi="Times New Roman"/>
        </w:rPr>
        <w:t xml:space="preserve"> </w:t>
      </w:r>
      <w:r w:rsidR="008E7E53" w:rsidRPr="006C640B">
        <w:rPr>
          <w:rFonts w:ascii="Times New Roman" w:hAnsi="Times New Roman"/>
        </w:rPr>
        <w:t>Testimony</w:t>
      </w:r>
      <w:r w:rsidR="008A5D42" w:rsidRPr="006C640B">
        <w:rPr>
          <w:rFonts w:ascii="Times New Roman" w:hAnsi="Times New Roman"/>
        </w:rPr>
        <w:t xml:space="preserve"> in Chile. Communication Dissertations. Paper 30.  </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Ochs Elinor &amp; Lisa Capps</w:t>
      </w:r>
    </w:p>
    <w:p w:rsidR="008A5D42" w:rsidRPr="006C640B" w:rsidRDefault="008E5388" w:rsidP="008A5D42">
      <w:pPr>
        <w:rPr>
          <w:rFonts w:ascii="Times New Roman" w:hAnsi="Times New Roman"/>
        </w:rPr>
      </w:pPr>
      <w:r>
        <w:rPr>
          <w:rFonts w:ascii="Times New Roman" w:hAnsi="Times New Roman"/>
        </w:rPr>
        <w:t xml:space="preserve">       1996  Narrating the S</w:t>
      </w:r>
      <w:r w:rsidR="008A5D42" w:rsidRPr="006C640B">
        <w:rPr>
          <w:rFonts w:ascii="Times New Roman" w:hAnsi="Times New Roman"/>
        </w:rPr>
        <w:t>elf. Annual Review of Anthropology. 25:19-43.</w:t>
      </w:r>
    </w:p>
    <w:p w:rsidR="008A5D42" w:rsidRPr="006C640B" w:rsidRDefault="008A5D42" w:rsidP="008A5D42">
      <w:pPr>
        <w:rPr>
          <w:rFonts w:ascii="Times New Roman" w:hAnsi="Times New Roman"/>
        </w:rPr>
      </w:pPr>
    </w:p>
    <w:p w:rsidR="008A5D42" w:rsidRPr="006C640B" w:rsidRDefault="008A5D42" w:rsidP="008A5D42">
      <w:pPr>
        <w:rPr>
          <w:rFonts w:ascii="Times New Roman" w:hAnsi="Times New Roman"/>
        </w:rPr>
      </w:pPr>
      <w:r w:rsidRPr="006C640B">
        <w:rPr>
          <w:rFonts w:ascii="Times New Roman" w:hAnsi="Times New Roman"/>
        </w:rPr>
        <w:t>Pellicer-Ortin Silvia</w:t>
      </w:r>
    </w:p>
    <w:p w:rsidR="008E5388" w:rsidRDefault="008E5388" w:rsidP="008A5D42">
      <w:pPr>
        <w:ind w:left="567" w:hanging="283"/>
        <w:rPr>
          <w:rFonts w:ascii="Times New Roman" w:hAnsi="Times New Roman"/>
        </w:rPr>
      </w:pPr>
      <w:r>
        <w:rPr>
          <w:rFonts w:ascii="Times New Roman" w:hAnsi="Times New Roman"/>
        </w:rPr>
        <w:t xml:space="preserve"> </w:t>
      </w:r>
      <w:r w:rsidR="008A5D42" w:rsidRPr="006C640B">
        <w:rPr>
          <w:rFonts w:ascii="Times New Roman" w:hAnsi="Times New Roman"/>
        </w:rPr>
        <w:t>2011  Testimony and the Representation of Trauma in</w:t>
      </w:r>
      <w:r>
        <w:rPr>
          <w:rFonts w:ascii="Times New Roman" w:hAnsi="Times New Roman"/>
        </w:rPr>
        <w:t xml:space="preserve"> Eva Figes’ Journey to Nowhere.</w:t>
      </w:r>
    </w:p>
    <w:p w:rsidR="008A5D42" w:rsidRPr="006C640B" w:rsidRDefault="008A5D42" w:rsidP="008A5D42">
      <w:pPr>
        <w:ind w:left="567" w:hanging="283"/>
        <w:rPr>
          <w:rFonts w:ascii="Times New Roman" w:hAnsi="Times New Roman"/>
        </w:rPr>
      </w:pPr>
      <w:r w:rsidRPr="006C640B">
        <w:rPr>
          <w:rFonts w:ascii="Times New Roman" w:hAnsi="Times New Roman"/>
        </w:rPr>
        <w:t xml:space="preserve">Journal of the Spanish Association of Anglo-American Studies. </w:t>
      </w:r>
      <w:r>
        <w:rPr>
          <w:rFonts w:ascii="Times New Roman" w:hAnsi="Times New Roman"/>
        </w:rPr>
        <w:t>33(1)69-84.</w:t>
      </w:r>
    </w:p>
    <w:p w:rsidR="008A5D42" w:rsidRPr="006C640B" w:rsidRDefault="008A5D42" w:rsidP="008A5D42">
      <w:pPr>
        <w:rPr>
          <w:rFonts w:ascii="Times New Roman" w:hAnsi="Times New Roman"/>
        </w:rPr>
      </w:pPr>
    </w:p>
    <w:p w:rsidR="008A5D42" w:rsidRPr="006C640B" w:rsidRDefault="008A5D42" w:rsidP="008A5D42">
      <w:pPr>
        <w:widowControl w:val="0"/>
        <w:tabs>
          <w:tab w:val="right" w:pos="5140"/>
          <w:tab w:val="left" w:pos="5700"/>
        </w:tabs>
        <w:autoSpaceDE w:val="0"/>
        <w:autoSpaceDN w:val="0"/>
        <w:adjustRightInd w:val="0"/>
        <w:ind w:left="284" w:hanging="284"/>
        <w:rPr>
          <w:rFonts w:ascii="Times New Roman" w:hAnsi="Times New Roman" w:cs="Century Gothic"/>
          <w:spacing w:val="4"/>
          <w:kern w:val="1"/>
          <w:szCs w:val="30"/>
        </w:rPr>
      </w:pPr>
      <w:r w:rsidRPr="006C640B">
        <w:rPr>
          <w:rFonts w:ascii="Times New Roman" w:hAnsi="Times New Roman" w:cs="Century Gothic"/>
          <w:spacing w:val="4"/>
          <w:kern w:val="1"/>
          <w:szCs w:val="30"/>
        </w:rPr>
        <w:t xml:space="preserve">Peru’s Truth and Reconciliation Commission </w:t>
      </w:r>
    </w:p>
    <w:p w:rsidR="008E5388" w:rsidRDefault="008A5D42" w:rsidP="008A5D42">
      <w:pPr>
        <w:widowControl w:val="0"/>
        <w:tabs>
          <w:tab w:val="right" w:pos="5140"/>
          <w:tab w:val="left" w:pos="5700"/>
        </w:tabs>
        <w:autoSpaceDE w:val="0"/>
        <w:autoSpaceDN w:val="0"/>
        <w:adjustRightInd w:val="0"/>
        <w:ind w:left="709" w:hanging="425"/>
        <w:rPr>
          <w:rFonts w:ascii="Times New Roman" w:hAnsi="Times New Roman" w:cs="Century Gothic"/>
          <w:spacing w:val="4"/>
          <w:kern w:val="1"/>
          <w:szCs w:val="30"/>
        </w:rPr>
      </w:pPr>
      <w:r w:rsidRPr="006C640B">
        <w:rPr>
          <w:rFonts w:ascii="Times New Roman" w:hAnsi="Times New Roman" w:cs="Century Gothic"/>
          <w:spacing w:val="4"/>
          <w:kern w:val="1"/>
          <w:szCs w:val="30"/>
        </w:rPr>
        <w:t>2003 Reporte de la Comisión de la Verdad y Reconciliac</w:t>
      </w:r>
      <w:r w:rsidR="008E5388">
        <w:rPr>
          <w:rFonts w:ascii="Times New Roman" w:hAnsi="Times New Roman" w:cs="Century Gothic"/>
          <w:spacing w:val="4"/>
          <w:kern w:val="1"/>
          <w:szCs w:val="30"/>
        </w:rPr>
        <w:t>ión (CVR): General Conclusions,</w:t>
      </w:r>
    </w:p>
    <w:p w:rsidR="005860E9" w:rsidRDefault="008A5D42" w:rsidP="008A5D42">
      <w:pPr>
        <w:widowControl w:val="0"/>
        <w:tabs>
          <w:tab w:val="right" w:pos="5140"/>
          <w:tab w:val="left" w:pos="5700"/>
        </w:tabs>
        <w:autoSpaceDE w:val="0"/>
        <w:autoSpaceDN w:val="0"/>
        <w:adjustRightInd w:val="0"/>
        <w:ind w:left="709" w:hanging="425"/>
        <w:rPr>
          <w:rFonts w:ascii="Times New Roman" w:hAnsi="Times New Roman" w:cs="Century Gothic"/>
          <w:spacing w:val="4"/>
          <w:kern w:val="1"/>
          <w:szCs w:val="30"/>
        </w:rPr>
      </w:pPr>
      <w:r w:rsidRPr="006C640B">
        <w:rPr>
          <w:rFonts w:ascii="Times New Roman" w:hAnsi="Times New Roman" w:cs="Century Gothic"/>
          <w:spacing w:val="4"/>
          <w:kern w:val="1"/>
          <w:szCs w:val="30"/>
        </w:rPr>
        <w:t xml:space="preserve">28 August. </w:t>
      </w:r>
      <w:r w:rsidR="0043145F">
        <w:rPr>
          <w:rFonts w:ascii="Times New Roman" w:hAnsi="Times New Roman" w:cs="Century Gothic"/>
          <w:spacing w:val="4"/>
          <w:kern w:val="1"/>
          <w:szCs w:val="30"/>
        </w:rPr>
        <w:t>Retrieved on July 21, 2012 at:</w:t>
      </w:r>
    </w:p>
    <w:p w:rsidR="008A5D42" w:rsidRPr="006C640B" w:rsidRDefault="00AB7287" w:rsidP="008A5D42">
      <w:pPr>
        <w:widowControl w:val="0"/>
        <w:tabs>
          <w:tab w:val="right" w:pos="5140"/>
          <w:tab w:val="left" w:pos="5700"/>
        </w:tabs>
        <w:autoSpaceDE w:val="0"/>
        <w:autoSpaceDN w:val="0"/>
        <w:adjustRightInd w:val="0"/>
        <w:ind w:left="709" w:hanging="425"/>
        <w:rPr>
          <w:rFonts w:ascii="Times New Roman" w:hAnsi="Times New Roman" w:cs="Century Gothic"/>
          <w:spacing w:val="4"/>
          <w:kern w:val="1"/>
          <w:szCs w:val="30"/>
        </w:rPr>
      </w:pPr>
      <w:hyperlink r:id="rId8" w:history="1">
        <w:r w:rsidR="008A5D42" w:rsidRPr="006C640B">
          <w:rPr>
            <w:rStyle w:val="Hyperlink"/>
            <w:rFonts w:ascii="Times New Roman" w:hAnsi="Times New Roman" w:cs="Century Gothic"/>
            <w:spacing w:val="4"/>
            <w:kern w:val="1"/>
            <w:szCs w:val="30"/>
          </w:rPr>
          <w:t>http://www.cverdad.org.pe/ingles/ifinal/conclusiones.php</w:t>
        </w:r>
      </w:hyperlink>
    </w:p>
    <w:p w:rsidR="008A5D42" w:rsidRPr="006C640B" w:rsidRDefault="008A5D42" w:rsidP="008A5D42">
      <w:pPr>
        <w:rPr>
          <w:rFonts w:ascii="Times New Roman" w:hAnsi="Times New Roman"/>
        </w:rPr>
      </w:pPr>
    </w:p>
    <w:p w:rsidR="008A5D42" w:rsidRPr="006C640B" w:rsidRDefault="008A5D42" w:rsidP="008A5D42">
      <w:pPr>
        <w:pStyle w:val="NormalWeb"/>
        <w:spacing w:before="2" w:after="2"/>
        <w:rPr>
          <w:rFonts w:ascii="Times New Roman" w:hAnsi="Times New Roman"/>
          <w:sz w:val="24"/>
          <w:szCs w:val="24"/>
        </w:rPr>
      </w:pPr>
      <w:r w:rsidRPr="006C640B">
        <w:rPr>
          <w:rFonts w:ascii="Times New Roman" w:hAnsi="Times New Roman"/>
          <w:sz w:val="24"/>
          <w:szCs w:val="24"/>
        </w:rPr>
        <w:t>Smith Sidonie &amp; Julia Watson</w:t>
      </w:r>
    </w:p>
    <w:p w:rsidR="005860E9" w:rsidRDefault="005860E9" w:rsidP="008A5D42">
      <w:pPr>
        <w:pStyle w:val="NormalWeb"/>
        <w:spacing w:before="2" w:after="2"/>
        <w:ind w:left="567" w:hanging="283"/>
        <w:rPr>
          <w:rFonts w:ascii="Times New Roman" w:hAnsi="Times New Roman"/>
          <w:sz w:val="24"/>
          <w:szCs w:val="24"/>
        </w:rPr>
      </w:pPr>
      <w:r>
        <w:rPr>
          <w:rFonts w:ascii="Times New Roman" w:hAnsi="Times New Roman"/>
          <w:sz w:val="24"/>
          <w:szCs w:val="24"/>
        </w:rPr>
        <w:t>2001  Reading Autobiography: A G</w:t>
      </w:r>
      <w:r w:rsidR="008A5D42" w:rsidRPr="006C640B">
        <w:rPr>
          <w:rFonts w:ascii="Times New Roman" w:hAnsi="Times New Roman"/>
          <w:sz w:val="24"/>
          <w:szCs w:val="24"/>
        </w:rPr>
        <w:t>uide for Interpretin</w:t>
      </w:r>
      <w:r>
        <w:rPr>
          <w:rFonts w:ascii="Times New Roman" w:hAnsi="Times New Roman"/>
          <w:sz w:val="24"/>
          <w:szCs w:val="24"/>
        </w:rPr>
        <w:t>g Life Narratives. Minneapolis:</w:t>
      </w:r>
    </w:p>
    <w:p w:rsidR="008A5D42" w:rsidRPr="006C640B" w:rsidRDefault="008A5D42" w:rsidP="008A5D42">
      <w:pPr>
        <w:pStyle w:val="NormalWeb"/>
        <w:spacing w:before="2" w:after="2"/>
        <w:ind w:left="567" w:hanging="283"/>
        <w:rPr>
          <w:rFonts w:ascii="Times New Roman" w:hAnsi="Times New Roman"/>
          <w:sz w:val="24"/>
          <w:szCs w:val="24"/>
        </w:rPr>
      </w:pPr>
      <w:r w:rsidRPr="006C640B">
        <w:rPr>
          <w:rFonts w:ascii="Times New Roman" w:hAnsi="Times New Roman"/>
          <w:sz w:val="24"/>
          <w:szCs w:val="24"/>
        </w:rPr>
        <w:t xml:space="preserve">University of Minnesota Press. </w:t>
      </w:r>
    </w:p>
    <w:p w:rsidR="008A5D42" w:rsidRPr="006C640B" w:rsidRDefault="008A5D42" w:rsidP="008A5D42">
      <w:pPr>
        <w:pStyle w:val="NormalWeb"/>
        <w:spacing w:before="2" w:after="2"/>
        <w:rPr>
          <w:rFonts w:ascii="Times New Roman" w:hAnsi="Times New Roman"/>
          <w:sz w:val="24"/>
          <w:szCs w:val="24"/>
        </w:rPr>
      </w:pPr>
    </w:p>
    <w:p w:rsidR="008A5D42" w:rsidRDefault="008A5D42" w:rsidP="008A5D42">
      <w:pPr>
        <w:pStyle w:val="NormalWeb"/>
        <w:spacing w:before="2" w:after="2"/>
        <w:rPr>
          <w:rFonts w:ascii="Times New Roman" w:hAnsi="Times New Roman"/>
          <w:sz w:val="24"/>
          <w:szCs w:val="24"/>
        </w:rPr>
      </w:pPr>
      <w:r w:rsidRPr="006C640B">
        <w:rPr>
          <w:rFonts w:ascii="Times New Roman" w:hAnsi="Times New Roman"/>
          <w:sz w:val="24"/>
          <w:szCs w:val="24"/>
        </w:rPr>
        <w:t xml:space="preserve">South African Commission of Truth and Reconciliation. </w:t>
      </w:r>
    </w:p>
    <w:p w:rsidR="005860E9" w:rsidRDefault="008A5D42" w:rsidP="008A5D42">
      <w:pPr>
        <w:pStyle w:val="NormalWeb"/>
        <w:spacing w:before="2" w:after="2"/>
        <w:ind w:left="567" w:hanging="283"/>
        <w:rPr>
          <w:rFonts w:ascii="Times New Roman" w:hAnsi="Times New Roman"/>
          <w:sz w:val="24"/>
          <w:szCs w:val="24"/>
        </w:rPr>
      </w:pPr>
      <w:r>
        <w:rPr>
          <w:rFonts w:ascii="Times New Roman" w:hAnsi="Times New Roman"/>
          <w:sz w:val="24"/>
          <w:szCs w:val="24"/>
        </w:rPr>
        <w:t>1998</w:t>
      </w:r>
      <w:r w:rsidRPr="006C640B">
        <w:rPr>
          <w:rFonts w:ascii="Times New Roman" w:hAnsi="Times New Roman"/>
          <w:sz w:val="24"/>
          <w:szCs w:val="24"/>
        </w:rPr>
        <w:t xml:space="preserve"> “Truth and Reconciliation Commission of South Africa Report.” Released online</w:t>
      </w:r>
      <w:r w:rsidR="005860E9">
        <w:rPr>
          <w:rFonts w:ascii="Times New Roman" w:hAnsi="Times New Roman"/>
          <w:sz w:val="24"/>
          <w:szCs w:val="24"/>
        </w:rPr>
        <w:t xml:space="preserve"> March</w:t>
      </w:r>
    </w:p>
    <w:p w:rsidR="008A5D42" w:rsidRPr="006C640B" w:rsidRDefault="008A5D42" w:rsidP="008A5D42">
      <w:pPr>
        <w:pStyle w:val="NormalWeb"/>
        <w:spacing w:before="2" w:after="2"/>
        <w:ind w:left="567" w:hanging="283"/>
      </w:pPr>
      <w:r w:rsidRPr="006C640B">
        <w:rPr>
          <w:rFonts w:ascii="Times New Roman" w:hAnsi="Times New Roman"/>
          <w:sz w:val="24"/>
          <w:szCs w:val="24"/>
        </w:rPr>
        <w:t>21, 2003. http://www.info.gov.za/otherdocs/2003/trc/</w:t>
      </w:r>
      <w:r>
        <w:rPr>
          <w:rFonts w:ascii="Times New Roman" w:hAnsi="Times New Roman"/>
          <w:sz w:val="24"/>
          <w:szCs w:val="24"/>
        </w:rPr>
        <w:t>.</w:t>
      </w:r>
      <w:r w:rsidRPr="006C640B">
        <w:rPr>
          <w:rFonts w:ascii="Times New Roman" w:hAnsi="Times New Roman"/>
          <w:sz w:val="24"/>
          <w:szCs w:val="24"/>
        </w:rPr>
        <w:t xml:space="preserve"> </w:t>
      </w:r>
    </w:p>
    <w:p w:rsidR="008A5D42" w:rsidRPr="006C640B" w:rsidRDefault="008A5D42" w:rsidP="008A5D42">
      <w:pPr>
        <w:ind w:left="567" w:hanging="283"/>
        <w:rPr>
          <w:rFonts w:ascii="Times New Roman" w:hAnsi="Times New Roman"/>
        </w:rPr>
      </w:pPr>
    </w:p>
    <w:p w:rsidR="008A5D42" w:rsidRPr="006E3EE8" w:rsidRDefault="008A5D42" w:rsidP="008A5D42">
      <w:pPr>
        <w:rPr>
          <w:rFonts w:ascii="Times New Roman" w:hAnsi="Times New Roman"/>
        </w:rPr>
      </w:pPr>
      <w:r w:rsidRPr="006E3EE8">
        <w:rPr>
          <w:rFonts w:ascii="Times New Roman" w:hAnsi="Times New Roman"/>
        </w:rPr>
        <w:t>Verdoolaege Annelies</w:t>
      </w:r>
    </w:p>
    <w:p w:rsidR="005860E9" w:rsidRDefault="005860E9" w:rsidP="008A5D42">
      <w:pPr>
        <w:ind w:left="567" w:hanging="283"/>
        <w:rPr>
          <w:rFonts w:ascii="Times New Roman" w:hAnsi="Times New Roman"/>
        </w:rPr>
      </w:pPr>
      <w:r>
        <w:rPr>
          <w:rFonts w:ascii="Times New Roman" w:hAnsi="Times New Roman"/>
        </w:rPr>
        <w:t>2009  The Audience as Actor: the Participation Status of the Audience at the Victim Hearings</w:t>
      </w:r>
    </w:p>
    <w:p w:rsidR="008A5D42" w:rsidRPr="006E3EE8" w:rsidRDefault="008A5D42" w:rsidP="005860E9">
      <w:pPr>
        <w:ind w:left="567" w:hanging="283"/>
        <w:rPr>
          <w:rFonts w:ascii="Times New Roman" w:hAnsi="Times New Roman"/>
        </w:rPr>
      </w:pPr>
      <w:r w:rsidRPr="006E3EE8">
        <w:rPr>
          <w:rFonts w:ascii="Times New Roman" w:hAnsi="Times New Roman"/>
        </w:rPr>
        <w:t>of the South African TRC. Discourse Studies (11):441-463</w:t>
      </w:r>
    </w:p>
    <w:p w:rsidR="008A5D42" w:rsidRDefault="008A5D42" w:rsidP="008A5D42"/>
    <w:p w:rsidR="008A5D42" w:rsidRPr="006C640B" w:rsidRDefault="008A5D42" w:rsidP="008A5D42">
      <w:pPr>
        <w:rPr>
          <w:rFonts w:ascii="Times New Roman" w:hAnsi="Times New Roman"/>
        </w:rPr>
      </w:pPr>
      <w:r w:rsidRPr="006C640B">
        <w:rPr>
          <w:rFonts w:ascii="Times New Roman" w:hAnsi="Times New Roman"/>
        </w:rPr>
        <w:t>Wilson, Richard</w:t>
      </w:r>
    </w:p>
    <w:p w:rsidR="005860E9" w:rsidRDefault="008A5D42" w:rsidP="008A5D42">
      <w:pPr>
        <w:ind w:left="567" w:hanging="283"/>
        <w:rPr>
          <w:rFonts w:ascii="Times New Roman" w:hAnsi="Times New Roman"/>
        </w:rPr>
      </w:pPr>
      <w:r>
        <w:rPr>
          <w:rFonts w:ascii="Times New Roman" w:hAnsi="Times New Roman"/>
        </w:rPr>
        <w:t xml:space="preserve"> </w:t>
      </w:r>
      <w:r w:rsidRPr="006C640B">
        <w:rPr>
          <w:rFonts w:ascii="Times New Roman" w:hAnsi="Times New Roman"/>
        </w:rPr>
        <w:t>2001. The Politics of Truth and Reconciliation in Sout</w:t>
      </w:r>
      <w:r w:rsidR="005860E9">
        <w:rPr>
          <w:rFonts w:ascii="Times New Roman" w:hAnsi="Times New Roman"/>
        </w:rPr>
        <w:t>h Africa: Legitimizing the Post</w:t>
      </w:r>
    </w:p>
    <w:p w:rsidR="008A5D42" w:rsidRPr="006C640B" w:rsidRDefault="008A5D42" w:rsidP="005860E9">
      <w:pPr>
        <w:ind w:left="567" w:hanging="283"/>
        <w:rPr>
          <w:rFonts w:ascii="Times New Roman" w:hAnsi="Times New Roman"/>
          <w:b/>
        </w:rPr>
      </w:pPr>
      <w:r w:rsidRPr="006C640B">
        <w:rPr>
          <w:rFonts w:ascii="Times New Roman" w:hAnsi="Times New Roman"/>
        </w:rPr>
        <w:t xml:space="preserve">Apartheid State. </w:t>
      </w:r>
      <w:r w:rsidR="00510D49" w:rsidRPr="006C640B">
        <w:rPr>
          <w:rFonts w:ascii="Times New Roman" w:hAnsi="Times New Roman"/>
        </w:rPr>
        <w:t>Cambridge</w:t>
      </w:r>
      <w:r w:rsidRPr="006C640B">
        <w:rPr>
          <w:rFonts w:ascii="Times New Roman" w:hAnsi="Times New Roman"/>
        </w:rPr>
        <w:t>: Cambridge University</w:t>
      </w:r>
    </w:p>
    <w:p w:rsidR="008A5D42" w:rsidRPr="006C640B" w:rsidRDefault="008A5D42" w:rsidP="008A5D42">
      <w:pPr>
        <w:rPr>
          <w:rFonts w:ascii="Times New Roman" w:hAnsi="Times New Roman"/>
          <w:b/>
        </w:rPr>
      </w:pPr>
    </w:p>
    <w:p w:rsidR="008A5D42" w:rsidRPr="006C640B" w:rsidRDefault="008A5D42" w:rsidP="008A5D42">
      <w:pPr>
        <w:rPr>
          <w:rFonts w:ascii="Times New Roman" w:hAnsi="Times New Roman"/>
        </w:rPr>
      </w:pPr>
      <w:r w:rsidRPr="006C640B">
        <w:rPr>
          <w:rFonts w:ascii="Times New Roman" w:hAnsi="Times New Roman"/>
        </w:rPr>
        <w:t xml:space="preserve">Young, Sandra </w:t>
      </w:r>
    </w:p>
    <w:p w:rsidR="005860E9" w:rsidRDefault="008A5D42" w:rsidP="008A5D42">
      <w:pPr>
        <w:ind w:left="567" w:hanging="283"/>
        <w:rPr>
          <w:rFonts w:ascii="Times New Roman" w:hAnsi="Times New Roman"/>
        </w:rPr>
      </w:pPr>
      <w:r w:rsidRPr="006C640B">
        <w:rPr>
          <w:rFonts w:ascii="Times New Roman" w:hAnsi="Times New Roman"/>
        </w:rPr>
        <w:t>2004 Narrative and Healing in the Hearings of the South A</w:t>
      </w:r>
      <w:r w:rsidR="005860E9">
        <w:rPr>
          <w:rFonts w:ascii="Times New Roman" w:hAnsi="Times New Roman"/>
        </w:rPr>
        <w:t>frican Truth and Reconciliation</w:t>
      </w:r>
    </w:p>
    <w:p w:rsidR="008E7E53" w:rsidRDefault="008A5D42" w:rsidP="005860E9">
      <w:pPr>
        <w:ind w:left="567" w:hanging="283"/>
        <w:rPr>
          <w:rFonts w:ascii="Times New Roman" w:hAnsi="Times New Roman"/>
        </w:rPr>
      </w:pPr>
      <w:r w:rsidRPr="006C640B">
        <w:rPr>
          <w:rFonts w:ascii="Times New Roman" w:hAnsi="Times New Roman"/>
        </w:rPr>
        <w:t>Commission. Biography 27 (1): 145-162.</w:t>
      </w:r>
    </w:p>
    <w:p w:rsidR="008E7E53" w:rsidRDefault="008E7E53" w:rsidP="008A5D42">
      <w:pPr>
        <w:ind w:left="567" w:hanging="283"/>
        <w:rPr>
          <w:rFonts w:ascii="Times New Roman" w:hAnsi="Times New Roman"/>
        </w:rPr>
      </w:pPr>
    </w:p>
    <w:p w:rsidR="008E7E53" w:rsidRDefault="008E7E53" w:rsidP="008A5D42">
      <w:pPr>
        <w:ind w:left="567" w:hanging="283"/>
        <w:rPr>
          <w:rFonts w:ascii="Times New Roman" w:hAnsi="Times New Roman"/>
        </w:rPr>
      </w:pPr>
    </w:p>
    <w:p w:rsidR="008E7E53" w:rsidRDefault="008E7E53" w:rsidP="008A5D42">
      <w:pPr>
        <w:ind w:left="567" w:hanging="283"/>
        <w:rPr>
          <w:rFonts w:ascii="Times New Roman" w:hAnsi="Times New Roman"/>
        </w:rPr>
      </w:pPr>
    </w:p>
    <w:p w:rsidR="008E7E53" w:rsidRDefault="008E7E53" w:rsidP="008A5D42">
      <w:pPr>
        <w:ind w:left="567" w:hanging="283"/>
        <w:rPr>
          <w:rFonts w:ascii="Times New Roman" w:hAnsi="Times New Roman"/>
        </w:rPr>
      </w:pPr>
    </w:p>
    <w:p w:rsidR="008E7E53" w:rsidRDefault="008E7E53" w:rsidP="008E7E53">
      <w:pPr>
        <w:ind w:left="567" w:hanging="283"/>
        <w:jc w:val="center"/>
        <w:rPr>
          <w:rFonts w:ascii="Times New Roman" w:hAnsi="Times New Roman"/>
        </w:rPr>
      </w:pPr>
    </w:p>
    <w:p w:rsidR="008E7E53" w:rsidRDefault="008E7E53" w:rsidP="008E7E53">
      <w:pPr>
        <w:jc w:val="center"/>
        <w:rPr>
          <w:rFonts w:ascii="Times New Roman" w:hAnsi="Times New Roman"/>
        </w:rPr>
      </w:pPr>
    </w:p>
    <w:p w:rsidR="008E7E53" w:rsidRDefault="008E7E53" w:rsidP="008E7E53">
      <w:pPr>
        <w:jc w:val="center"/>
        <w:rPr>
          <w:rFonts w:ascii="Times New Roman" w:hAnsi="Times New Roman"/>
        </w:rPr>
      </w:pPr>
    </w:p>
    <w:p w:rsidR="008E7E53" w:rsidRPr="006B176A" w:rsidRDefault="008E7E53" w:rsidP="008E7E53">
      <w:pPr>
        <w:jc w:val="center"/>
        <w:rPr>
          <w:rFonts w:ascii="Times New Roman" w:hAnsi="Times New Roman"/>
        </w:rPr>
      </w:pPr>
    </w:p>
    <w:p w:rsidR="008E7E53" w:rsidRDefault="008E7E53" w:rsidP="008E7E53">
      <w:pPr>
        <w:jc w:val="center"/>
        <w:rPr>
          <w:rFonts w:ascii="Times New Roman" w:hAnsi="Times New Roman"/>
          <w:b/>
        </w:rPr>
      </w:pPr>
    </w:p>
    <w:p w:rsidR="008A5D42" w:rsidRPr="006C640B" w:rsidRDefault="008A5D42" w:rsidP="008A5D42">
      <w:pPr>
        <w:ind w:left="567" w:hanging="283"/>
        <w:rPr>
          <w:rFonts w:ascii="Times New Roman" w:hAnsi="Times New Roman"/>
        </w:rPr>
      </w:pPr>
    </w:p>
    <w:p w:rsidR="008A5D42" w:rsidRDefault="008A5D42"/>
    <w:sectPr w:rsidR="008A5D42" w:rsidSect="008A5D42">
      <w:footerReference w:type="even" r:id="rId9"/>
      <w:footerReference w:type="default" r:id="rId10"/>
      <w:pgSz w:w="12240" w:h="15840"/>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87" w:rsidRDefault="00AB7287">
      <w:r>
        <w:separator/>
      </w:r>
    </w:p>
  </w:endnote>
  <w:endnote w:type="continuationSeparator" w:id="0">
    <w:p w:rsidR="00AB7287" w:rsidRDefault="00AB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42" w:rsidRDefault="008A5D42" w:rsidP="008A5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5D42" w:rsidRDefault="008A5D42" w:rsidP="008A5D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42" w:rsidRDefault="008A5D42" w:rsidP="008A5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6A">
      <w:rPr>
        <w:rStyle w:val="PageNumber"/>
        <w:noProof/>
      </w:rPr>
      <w:t>19</w:t>
    </w:r>
    <w:r>
      <w:rPr>
        <w:rStyle w:val="PageNumber"/>
      </w:rPr>
      <w:fldChar w:fldCharType="end"/>
    </w:r>
  </w:p>
  <w:p w:rsidR="008A5D42" w:rsidRDefault="008A5D42" w:rsidP="008A5D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87" w:rsidRDefault="00AB7287">
      <w:r>
        <w:separator/>
      </w:r>
    </w:p>
  </w:footnote>
  <w:footnote w:type="continuationSeparator" w:id="0">
    <w:p w:rsidR="00AB7287" w:rsidRDefault="00AB7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202FB"/>
    <w:multiLevelType w:val="hybridMultilevel"/>
    <w:tmpl w:val="37A6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42"/>
    <w:rsid w:val="00035A94"/>
    <w:rsid w:val="00097C6A"/>
    <w:rsid w:val="000F7E11"/>
    <w:rsid w:val="002A4FE0"/>
    <w:rsid w:val="002C3121"/>
    <w:rsid w:val="0043145F"/>
    <w:rsid w:val="0043507D"/>
    <w:rsid w:val="00440B1A"/>
    <w:rsid w:val="004E552B"/>
    <w:rsid w:val="00510D49"/>
    <w:rsid w:val="005860E9"/>
    <w:rsid w:val="007027E9"/>
    <w:rsid w:val="007424AC"/>
    <w:rsid w:val="00782D27"/>
    <w:rsid w:val="00784361"/>
    <w:rsid w:val="007B7A34"/>
    <w:rsid w:val="00832870"/>
    <w:rsid w:val="008A5D42"/>
    <w:rsid w:val="008E5388"/>
    <w:rsid w:val="008E7E53"/>
    <w:rsid w:val="00915D87"/>
    <w:rsid w:val="009B6C78"/>
    <w:rsid w:val="009D2C92"/>
    <w:rsid w:val="00AB7287"/>
    <w:rsid w:val="00B554B3"/>
    <w:rsid w:val="00B96F01"/>
    <w:rsid w:val="00CB08F6"/>
    <w:rsid w:val="00CF0ECD"/>
    <w:rsid w:val="00D33CEB"/>
    <w:rsid w:val="00D8602D"/>
    <w:rsid w:val="00D86E34"/>
    <w:rsid w:val="00DC4B3F"/>
    <w:rsid w:val="00DE6666"/>
    <w:rsid w:val="00E00051"/>
    <w:rsid w:val="00E45C39"/>
    <w:rsid w:val="00EF1C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D42"/>
    <w:rPr>
      <w:color w:val="0000FF" w:themeColor="hyperlink"/>
      <w:u w:val="single"/>
    </w:rPr>
  </w:style>
  <w:style w:type="paragraph" w:styleId="NormalWeb">
    <w:name w:val="Normal (Web)"/>
    <w:basedOn w:val="Normal"/>
    <w:uiPriority w:val="99"/>
    <w:rsid w:val="008A5D42"/>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8A5D42"/>
    <w:pPr>
      <w:tabs>
        <w:tab w:val="center" w:pos="4320"/>
        <w:tab w:val="right" w:pos="8640"/>
      </w:tabs>
    </w:pPr>
  </w:style>
  <w:style w:type="character" w:customStyle="1" w:styleId="FooterChar">
    <w:name w:val="Footer Char"/>
    <w:basedOn w:val="DefaultParagraphFont"/>
    <w:link w:val="Footer"/>
    <w:uiPriority w:val="99"/>
    <w:semiHidden/>
    <w:rsid w:val="008A5D42"/>
  </w:style>
  <w:style w:type="character" w:styleId="PageNumber">
    <w:name w:val="page number"/>
    <w:basedOn w:val="DefaultParagraphFont"/>
    <w:uiPriority w:val="99"/>
    <w:semiHidden/>
    <w:unhideWhenUsed/>
    <w:rsid w:val="008A5D42"/>
  </w:style>
  <w:style w:type="paragraph" w:styleId="EndnoteText">
    <w:name w:val="endnote text"/>
    <w:basedOn w:val="Normal"/>
    <w:link w:val="EndnoteTextChar"/>
    <w:rsid w:val="008A5D42"/>
  </w:style>
  <w:style w:type="character" w:customStyle="1" w:styleId="EndnoteTextChar">
    <w:name w:val="Endnote Text Char"/>
    <w:basedOn w:val="DefaultParagraphFont"/>
    <w:link w:val="EndnoteText"/>
    <w:rsid w:val="008A5D42"/>
  </w:style>
  <w:style w:type="character" w:styleId="EndnoteReference">
    <w:name w:val="endnote reference"/>
    <w:basedOn w:val="DefaultParagraphFont"/>
    <w:rsid w:val="008A5D42"/>
    <w:rPr>
      <w:vertAlign w:val="superscript"/>
    </w:rPr>
  </w:style>
  <w:style w:type="character" w:styleId="CommentReference">
    <w:name w:val="annotation reference"/>
    <w:basedOn w:val="DefaultParagraphFont"/>
    <w:rsid w:val="008A5D42"/>
    <w:rPr>
      <w:sz w:val="18"/>
      <w:szCs w:val="18"/>
    </w:rPr>
  </w:style>
  <w:style w:type="paragraph" w:styleId="CommentText">
    <w:name w:val="annotation text"/>
    <w:basedOn w:val="Normal"/>
    <w:link w:val="CommentTextChar"/>
    <w:rsid w:val="008A5D42"/>
  </w:style>
  <w:style w:type="character" w:customStyle="1" w:styleId="CommentTextChar">
    <w:name w:val="Comment Text Char"/>
    <w:basedOn w:val="DefaultParagraphFont"/>
    <w:link w:val="CommentText"/>
    <w:rsid w:val="008A5D42"/>
  </w:style>
  <w:style w:type="paragraph" w:styleId="CommentSubject">
    <w:name w:val="annotation subject"/>
    <w:basedOn w:val="CommentText"/>
    <w:next w:val="CommentText"/>
    <w:link w:val="CommentSubjectChar"/>
    <w:rsid w:val="008A5D42"/>
    <w:rPr>
      <w:b/>
      <w:bCs/>
      <w:sz w:val="20"/>
      <w:szCs w:val="20"/>
    </w:rPr>
  </w:style>
  <w:style w:type="character" w:customStyle="1" w:styleId="CommentSubjectChar">
    <w:name w:val="Comment Subject Char"/>
    <w:basedOn w:val="CommentTextChar"/>
    <w:link w:val="CommentSubject"/>
    <w:rsid w:val="008A5D42"/>
    <w:rPr>
      <w:b/>
      <w:bCs/>
      <w:sz w:val="20"/>
      <w:szCs w:val="20"/>
    </w:rPr>
  </w:style>
  <w:style w:type="paragraph" w:styleId="BalloonText">
    <w:name w:val="Balloon Text"/>
    <w:basedOn w:val="Normal"/>
    <w:link w:val="BalloonTextChar"/>
    <w:rsid w:val="008A5D42"/>
    <w:rPr>
      <w:rFonts w:ascii="Lucida Grande" w:hAnsi="Lucida Grande"/>
      <w:sz w:val="18"/>
      <w:szCs w:val="18"/>
    </w:rPr>
  </w:style>
  <w:style w:type="character" w:customStyle="1" w:styleId="BalloonTextChar">
    <w:name w:val="Balloon Text Char"/>
    <w:basedOn w:val="DefaultParagraphFont"/>
    <w:link w:val="BalloonText"/>
    <w:rsid w:val="008A5D42"/>
    <w:rPr>
      <w:rFonts w:ascii="Lucida Grande" w:hAnsi="Lucida Grande"/>
      <w:sz w:val="18"/>
      <w:szCs w:val="18"/>
    </w:rPr>
  </w:style>
  <w:style w:type="paragraph" w:styleId="ListParagraph">
    <w:name w:val="List Paragraph"/>
    <w:basedOn w:val="Normal"/>
    <w:uiPriority w:val="34"/>
    <w:qFormat/>
    <w:rsid w:val="008A5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D42"/>
    <w:rPr>
      <w:color w:val="0000FF" w:themeColor="hyperlink"/>
      <w:u w:val="single"/>
    </w:rPr>
  </w:style>
  <w:style w:type="paragraph" w:styleId="NormalWeb">
    <w:name w:val="Normal (Web)"/>
    <w:basedOn w:val="Normal"/>
    <w:uiPriority w:val="99"/>
    <w:rsid w:val="008A5D42"/>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8A5D42"/>
    <w:pPr>
      <w:tabs>
        <w:tab w:val="center" w:pos="4320"/>
        <w:tab w:val="right" w:pos="8640"/>
      </w:tabs>
    </w:pPr>
  </w:style>
  <w:style w:type="character" w:customStyle="1" w:styleId="FooterChar">
    <w:name w:val="Footer Char"/>
    <w:basedOn w:val="DefaultParagraphFont"/>
    <w:link w:val="Footer"/>
    <w:uiPriority w:val="99"/>
    <w:semiHidden/>
    <w:rsid w:val="008A5D42"/>
  </w:style>
  <w:style w:type="character" w:styleId="PageNumber">
    <w:name w:val="page number"/>
    <w:basedOn w:val="DefaultParagraphFont"/>
    <w:uiPriority w:val="99"/>
    <w:semiHidden/>
    <w:unhideWhenUsed/>
    <w:rsid w:val="008A5D42"/>
  </w:style>
  <w:style w:type="paragraph" w:styleId="EndnoteText">
    <w:name w:val="endnote text"/>
    <w:basedOn w:val="Normal"/>
    <w:link w:val="EndnoteTextChar"/>
    <w:rsid w:val="008A5D42"/>
  </w:style>
  <w:style w:type="character" w:customStyle="1" w:styleId="EndnoteTextChar">
    <w:name w:val="Endnote Text Char"/>
    <w:basedOn w:val="DefaultParagraphFont"/>
    <w:link w:val="EndnoteText"/>
    <w:rsid w:val="008A5D42"/>
  </w:style>
  <w:style w:type="character" w:styleId="EndnoteReference">
    <w:name w:val="endnote reference"/>
    <w:basedOn w:val="DefaultParagraphFont"/>
    <w:rsid w:val="008A5D42"/>
    <w:rPr>
      <w:vertAlign w:val="superscript"/>
    </w:rPr>
  </w:style>
  <w:style w:type="character" w:styleId="CommentReference">
    <w:name w:val="annotation reference"/>
    <w:basedOn w:val="DefaultParagraphFont"/>
    <w:rsid w:val="008A5D42"/>
    <w:rPr>
      <w:sz w:val="18"/>
      <w:szCs w:val="18"/>
    </w:rPr>
  </w:style>
  <w:style w:type="paragraph" w:styleId="CommentText">
    <w:name w:val="annotation text"/>
    <w:basedOn w:val="Normal"/>
    <w:link w:val="CommentTextChar"/>
    <w:rsid w:val="008A5D42"/>
  </w:style>
  <w:style w:type="character" w:customStyle="1" w:styleId="CommentTextChar">
    <w:name w:val="Comment Text Char"/>
    <w:basedOn w:val="DefaultParagraphFont"/>
    <w:link w:val="CommentText"/>
    <w:rsid w:val="008A5D42"/>
  </w:style>
  <w:style w:type="paragraph" w:styleId="CommentSubject">
    <w:name w:val="annotation subject"/>
    <w:basedOn w:val="CommentText"/>
    <w:next w:val="CommentText"/>
    <w:link w:val="CommentSubjectChar"/>
    <w:rsid w:val="008A5D42"/>
    <w:rPr>
      <w:b/>
      <w:bCs/>
      <w:sz w:val="20"/>
      <w:szCs w:val="20"/>
    </w:rPr>
  </w:style>
  <w:style w:type="character" w:customStyle="1" w:styleId="CommentSubjectChar">
    <w:name w:val="Comment Subject Char"/>
    <w:basedOn w:val="CommentTextChar"/>
    <w:link w:val="CommentSubject"/>
    <w:rsid w:val="008A5D42"/>
    <w:rPr>
      <w:b/>
      <w:bCs/>
      <w:sz w:val="20"/>
      <w:szCs w:val="20"/>
    </w:rPr>
  </w:style>
  <w:style w:type="paragraph" w:styleId="BalloonText">
    <w:name w:val="Balloon Text"/>
    <w:basedOn w:val="Normal"/>
    <w:link w:val="BalloonTextChar"/>
    <w:rsid w:val="008A5D42"/>
    <w:rPr>
      <w:rFonts w:ascii="Lucida Grande" w:hAnsi="Lucida Grande"/>
      <w:sz w:val="18"/>
      <w:szCs w:val="18"/>
    </w:rPr>
  </w:style>
  <w:style w:type="character" w:customStyle="1" w:styleId="BalloonTextChar">
    <w:name w:val="Balloon Text Char"/>
    <w:basedOn w:val="DefaultParagraphFont"/>
    <w:link w:val="BalloonText"/>
    <w:rsid w:val="008A5D42"/>
    <w:rPr>
      <w:rFonts w:ascii="Lucida Grande" w:hAnsi="Lucida Grande"/>
      <w:sz w:val="18"/>
      <w:szCs w:val="18"/>
    </w:rPr>
  </w:style>
  <w:style w:type="paragraph" w:styleId="ListParagraph">
    <w:name w:val="List Paragraph"/>
    <w:basedOn w:val="Normal"/>
    <w:uiPriority w:val="34"/>
    <w:qFormat/>
    <w:rsid w:val="008A5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erdad.org.pe/ingles/ifinal/conclusiones.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5194</Words>
  <Characters>29610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Dalhousie</Company>
  <LinksUpToDate>false</LinksUpToDate>
  <CharactersWithSpaces>34735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Cassie MacDonald</cp:lastModifiedBy>
  <cp:revision>2</cp:revision>
  <dcterms:created xsi:type="dcterms:W3CDTF">2013-11-25T17:38:00Z</dcterms:created>
  <dcterms:modified xsi:type="dcterms:W3CDTF">2013-11-25T17:38:00Z</dcterms:modified>
</cp:coreProperties>
</file>